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2963" w14:textId="5C348552" w:rsidR="009E7EF6" w:rsidRPr="00C450D1" w:rsidRDefault="009E7EF6" w:rsidP="00252B62">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2004560A" w14:textId="2E44E418" w:rsidR="00813EA1" w:rsidRDefault="00B0357D" w:rsidP="004E0CA0">
      <w:r>
        <w:t>T</w:t>
      </w:r>
      <w:r w:rsidR="00DE107E" w:rsidRPr="00DE107E">
        <w:t xml:space="preserve">he global share markets </w:t>
      </w:r>
      <w:r w:rsidR="00722592">
        <w:t xml:space="preserve">finished </w:t>
      </w:r>
      <w:r w:rsidR="00813EA1">
        <w:t xml:space="preserve">mixed for the </w:t>
      </w:r>
      <w:r w:rsidR="003D5229">
        <w:t xml:space="preserve">June 2024 </w:t>
      </w:r>
      <w:r w:rsidR="00722592">
        <w:t>financial year</w:t>
      </w:r>
      <w:r w:rsidR="00813EA1">
        <w:t>-end</w:t>
      </w:r>
      <w:r w:rsidR="00722592">
        <w:t xml:space="preserve"> </w:t>
      </w:r>
      <w:r w:rsidR="00D528C0">
        <w:t>(</w:t>
      </w:r>
      <w:r w:rsidR="00DE107E" w:rsidRPr="00DE107E">
        <w:t>in local currency terms</w:t>
      </w:r>
      <w:r w:rsidR="00D528C0">
        <w:t>)</w:t>
      </w:r>
      <w:r w:rsidR="00DE107E" w:rsidRPr="00DE107E">
        <w:t xml:space="preserve"> </w:t>
      </w:r>
      <w:r w:rsidR="00813EA1">
        <w:t xml:space="preserve">as </w:t>
      </w:r>
      <w:r w:rsidR="00722592">
        <w:t>tax loss selling that impacted the previous month</w:t>
      </w:r>
      <w:r w:rsidR="00813EA1">
        <w:t xml:space="preserve"> gave way to </w:t>
      </w:r>
      <w:r w:rsidR="00300938">
        <w:t>bargain hunting</w:t>
      </w:r>
      <w:r w:rsidR="00813EA1">
        <w:t>.</w:t>
      </w:r>
    </w:p>
    <w:p w14:paraId="5F8DE8C2" w14:textId="522F6F35" w:rsidR="000A26DE" w:rsidRDefault="00813EA1" w:rsidP="004E0CA0">
      <w:r>
        <w:t xml:space="preserve">The US markets were led by the </w:t>
      </w:r>
      <w:r w:rsidR="00722592" w:rsidRPr="00300938">
        <w:rPr>
          <w:b/>
          <w:bCs/>
        </w:rPr>
        <w:t>mega-cap technology</w:t>
      </w:r>
      <w:r w:rsidR="00722592">
        <w:t xml:space="preserve"> names</w:t>
      </w:r>
      <w:r w:rsidR="003627B9">
        <w:t xml:space="preserve"> </w:t>
      </w:r>
      <w:r w:rsidR="00E01EF7">
        <w:t xml:space="preserve">with the sector up 7.84% for the month </w:t>
      </w:r>
      <w:r>
        <w:t>helped by the</w:t>
      </w:r>
      <w:r w:rsidR="003627B9">
        <w:t xml:space="preserve"> </w:t>
      </w:r>
      <w:r w:rsidR="00722592">
        <w:t xml:space="preserve">US treasury yields trending lower </w:t>
      </w:r>
      <w:r>
        <w:t xml:space="preserve">further </w:t>
      </w:r>
      <w:r w:rsidR="00722592">
        <w:t xml:space="preserve">underwriting company valuations. </w:t>
      </w:r>
    </w:p>
    <w:p w14:paraId="22271D9A" w14:textId="0F1B010B" w:rsidR="00FF15E7" w:rsidRDefault="0025660A" w:rsidP="004E0CA0">
      <w:r>
        <w:t>Australian i</w:t>
      </w:r>
      <w:r w:rsidR="001451A8">
        <w:t xml:space="preserve">nvestors </w:t>
      </w:r>
      <w:r w:rsidR="005C2B9A">
        <w:t xml:space="preserve">looked for </w:t>
      </w:r>
      <w:r w:rsidR="00C117E1">
        <w:t xml:space="preserve">out of favour </w:t>
      </w:r>
      <w:r w:rsidR="005C2B9A">
        <w:t xml:space="preserve">growth </w:t>
      </w:r>
      <w:r w:rsidR="00C117E1">
        <w:t>stocks</w:t>
      </w:r>
      <w:r w:rsidR="005C2B9A">
        <w:t xml:space="preserve"> anticipating</w:t>
      </w:r>
      <w:r w:rsidR="00907370">
        <w:t xml:space="preserve"> a </w:t>
      </w:r>
      <w:r w:rsidR="00907370" w:rsidRPr="00907370">
        <w:rPr>
          <w:b/>
          <w:bCs/>
        </w:rPr>
        <w:t>bounce back in July</w:t>
      </w:r>
      <w:r w:rsidR="00907370">
        <w:t xml:space="preserve"> as dividends and trust distributions </w:t>
      </w:r>
      <w:r w:rsidR="006820B4">
        <w:t>are</w:t>
      </w:r>
      <w:r w:rsidR="00907370">
        <w:t xml:space="preserve"> paid to investors post the financial year-end.</w:t>
      </w:r>
      <w:r w:rsidR="00FF15E7">
        <w:t xml:space="preserve"> </w:t>
      </w:r>
    </w:p>
    <w:p w14:paraId="2503B8B1" w14:textId="346674B5" w:rsidR="00FF15E7" w:rsidRDefault="0025660A" w:rsidP="004E0CA0">
      <w:r>
        <w:t>US i</w:t>
      </w:r>
      <w:r w:rsidR="007E4696">
        <w:t xml:space="preserve">nvestors remain </w:t>
      </w:r>
      <w:r w:rsidR="00AB51EB">
        <w:t>confiden</w:t>
      </w:r>
      <w:r w:rsidR="007E4696">
        <w:t>t</w:t>
      </w:r>
      <w:r w:rsidR="00AB51EB">
        <w:t xml:space="preserve"> </w:t>
      </w:r>
      <w:r w:rsidR="000B4202">
        <w:t xml:space="preserve">that </w:t>
      </w:r>
      <w:r w:rsidR="000B4202" w:rsidRPr="005D4428">
        <w:t>the</w:t>
      </w:r>
      <w:r w:rsidR="000B4202" w:rsidRPr="000B4202">
        <w:rPr>
          <w:b/>
          <w:bCs/>
        </w:rPr>
        <w:t xml:space="preserve"> Federal Reserve Bank hiking cycle is over</w:t>
      </w:r>
      <w:r w:rsidR="00AB51EB">
        <w:rPr>
          <w:b/>
          <w:bCs/>
        </w:rPr>
        <w:t xml:space="preserve"> </w:t>
      </w:r>
      <w:r w:rsidR="007E4696" w:rsidRPr="007E4696">
        <w:t>however,</w:t>
      </w:r>
      <w:r w:rsidR="007E4696">
        <w:rPr>
          <w:b/>
          <w:bCs/>
        </w:rPr>
        <w:t xml:space="preserve"> </w:t>
      </w:r>
      <w:r w:rsidR="00AB51EB">
        <w:t xml:space="preserve">interest rate </w:t>
      </w:r>
      <w:r w:rsidR="00AB51EB" w:rsidRPr="007E4696">
        <w:rPr>
          <w:b/>
          <w:bCs/>
        </w:rPr>
        <w:t xml:space="preserve">cuts </w:t>
      </w:r>
      <w:r w:rsidR="007E4696" w:rsidRPr="007E4696">
        <w:rPr>
          <w:b/>
          <w:bCs/>
        </w:rPr>
        <w:t>have been pushed further down the line</w:t>
      </w:r>
      <w:r w:rsidR="007E4696">
        <w:t xml:space="preserve"> as inflation remains elevated. </w:t>
      </w:r>
      <w:r w:rsidR="005C2B9A">
        <w:t>The latest interest rate easing expectations see a 78% chance of the Fed starting to ease rates in September 2024</w:t>
      </w:r>
      <w:r w:rsidR="00B3221F">
        <w:t>.</w:t>
      </w:r>
    </w:p>
    <w:p w14:paraId="3438AC23" w14:textId="77777777" w:rsidR="00FF15E7" w:rsidRDefault="00FF15E7" w:rsidP="00FF15E7">
      <w:pPr>
        <w:rPr>
          <w:b/>
          <w:bCs/>
        </w:rPr>
      </w:pPr>
      <w:r>
        <w:rPr>
          <w:b/>
          <w:bCs/>
        </w:rPr>
        <w:t>The US Federal Reserve Bank maintained the target range for the federal funds rate at 5.25%-5.0% at the FOMC meeting held on the 12</w:t>
      </w:r>
      <w:r w:rsidRPr="0025660A">
        <w:rPr>
          <w:b/>
          <w:bCs/>
          <w:vertAlign w:val="superscript"/>
        </w:rPr>
        <w:t>th</w:t>
      </w:r>
      <w:r>
        <w:rPr>
          <w:b/>
          <w:bCs/>
        </w:rPr>
        <w:t xml:space="preserve"> </w:t>
      </w:r>
      <w:r w:rsidRPr="00375195">
        <w:rPr>
          <w:b/>
          <w:bCs/>
          <w:vertAlign w:val="superscript"/>
        </w:rPr>
        <w:t>of</w:t>
      </w:r>
      <w:r>
        <w:rPr>
          <w:b/>
          <w:bCs/>
        </w:rPr>
        <w:t xml:space="preserve"> June 2024. </w:t>
      </w:r>
    </w:p>
    <w:p w14:paraId="1AD12363" w14:textId="1F37A16E" w:rsidR="00FF15E7" w:rsidRPr="00FF15E7" w:rsidRDefault="00FF15E7" w:rsidP="00FF15E7">
      <w:pPr>
        <w:ind w:left="720"/>
        <w:rPr>
          <w:i/>
          <w:iCs/>
        </w:rPr>
      </w:pPr>
      <w:r w:rsidRPr="00FF15E7">
        <w:rPr>
          <w:b/>
          <w:bCs/>
          <w:i/>
          <w:iCs/>
        </w:rPr>
        <w:t>“</w:t>
      </w:r>
      <w:r w:rsidRPr="00FF15E7">
        <w:rPr>
          <w:i/>
          <w:iCs/>
        </w:rPr>
        <w:t>The Committee will carefully assess incoming data, the evolving outlook, and the balance of risks. The Committee does not expect it will be appropriate to reduce the target range until it has gained greater confidence that inflation is moving sustainably toward 2 percent”.</w:t>
      </w:r>
      <w:r w:rsidRPr="00FF15E7">
        <w:rPr>
          <w:b/>
          <w:bCs/>
          <w:i/>
          <w:iCs/>
        </w:rPr>
        <w:t xml:space="preserve"> </w:t>
      </w:r>
      <w:r w:rsidRPr="00FF15E7">
        <w:rPr>
          <w:i/>
          <w:iCs/>
        </w:rPr>
        <w:t>Source: FOMC policy statement, The Federal Reserve Bank.</w:t>
      </w:r>
    </w:p>
    <w:p w14:paraId="6D6130F4" w14:textId="77777777" w:rsidR="0021071B" w:rsidRDefault="0021071B" w:rsidP="0021071B">
      <w:r>
        <w:t>In addition, the US FOMC will continue to reduce its holdings of Treasury securities and agency debt and agency mortgage-backed securities, as described in its previously announced plans. This drains liquidity from the system.</w:t>
      </w:r>
    </w:p>
    <w:p w14:paraId="64475292" w14:textId="54A15197" w:rsidR="00FF15E7" w:rsidRDefault="00FF15E7" w:rsidP="00FF15E7">
      <w:r>
        <w:t xml:space="preserve">The latest US inflation data slowed </w:t>
      </w:r>
      <w:bookmarkStart w:id="1" w:name="_Hlk169250034"/>
      <w:r>
        <w:t xml:space="preserve">to </w:t>
      </w:r>
      <w:r w:rsidRPr="00922DE0">
        <w:rPr>
          <w:b/>
          <w:bCs/>
        </w:rPr>
        <w:t>3.</w:t>
      </w:r>
      <w:r w:rsidR="00B3221F">
        <w:rPr>
          <w:b/>
          <w:bCs/>
        </w:rPr>
        <w:t>0</w:t>
      </w:r>
      <w:r w:rsidRPr="00922DE0">
        <w:rPr>
          <w:b/>
          <w:bCs/>
        </w:rPr>
        <w:t xml:space="preserve">% in </w:t>
      </w:r>
      <w:r w:rsidR="00B3221F">
        <w:rPr>
          <w:b/>
          <w:bCs/>
        </w:rPr>
        <w:t>June</w:t>
      </w:r>
      <w:r w:rsidRPr="00922DE0">
        <w:rPr>
          <w:b/>
          <w:bCs/>
        </w:rPr>
        <w:t xml:space="preserve"> 2024</w:t>
      </w:r>
      <w:r>
        <w:t xml:space="preserve"> from 3.</w:t>
      </w:r>
      <w:r w:rsidR="00B3221F">
        <w:t>3</w:t>
      </w:r>
      <w:r>
        <w:t xml:space="preserve">% in </w:t>
      </w:r>
      <w:r w:rsidR="00B3221F">
        <w:t>May</w:t>
      </w:r>
      <w:r>
        <w:t xml:space="preserve"> 2024. </w:t>
      </w:r>
      <w:bookmarkEnd w:id="1"/>
      <w:r>
        <w:t>Investors remain focussed on the second half of 2024 and the potential for monetary policy easing once the real impact of all the interest rate hikes is felt by consumers in Q3 and Q4 of 2024.</w:t>
      </w:r>
      <w:r w:rsidR="00B3221F">
        <w:t xml:space="preserve"> Core inflation Y-O-Y fell to 3.3% from 3.4% in June 2024. Core inflation excludes volatile items such as food and energy. </w:t>
      </w:r>
    </w:p>
    <w:p w14:paraId="222F0646" w14:textId="2B64A54A" w:rsidR="00FF15E7" w:rsidRDefault="00FF15E7" w:rsidP="00FF15E7">
      <w:r>
        <w:t xml:space="preserve">Now it appears that </w:t>
      </w:r>
      <w:r w:rsidR="003627B9">
        <w:t xml:space="preserve">other </w:t>
      </w:r>
      <w:r w:rsidRPr="00780ED6">
        <w:rPr>
          <w:b/>
          <w:bCs/>
        </w:rPr>
        <w:t xml:space="preserve">Central Banks will </w:t>
      </w:r>
      <w:r w:rsidR="00B3221F">
        <w:rPr>
          <w:b/>
          <w:bCs/>
        </w:rPr>
        <w:t xml:space="preserve">consider </w:t>
      </w:r>
      <w:r w:rsidRPr="00780ED6">
        <w:rPr>
          <w:b/>
          <w:bCs/>
        </w:rPr>
        <w:t>easing plans</w:t>
      </w:r>
      <w:r>
        <w:t xml:space="preserve"> </w:t>
      </w:r>
      <w:r w:rsidR="00B3221F">
        <w:t>if the inflation numbers continue to head lower</w:t>
      </w:r>
      <w:r w:rsidR="00300938">
        <w:t xml:space="preserve">. </w:t>
      </w:r>
    </w:p>
    <w:p w14:paraId="45FAB44E" w14:textId="77777777" w:rsidR="003D5229" w:rsidRDefault="003D5229" w:rsidP="00FF15E7"/>
    <w:p w14:paraId="0A151607" w14:textId="77777777" w:rsidR="003D5229" w:rsidRDefault="003D5229" w:rsidP="00FF15E7"/>
    <w:p w14:paraId="4D29C6A1" w14:textId="77777777" w:rsidR="00B3221F" w:rsidRDefault="00B3221F" w:rsidP="004E0CA0"/>
    <w:p w14:paraId="1B487412" w14:textId="77777777" w:rsidR="00B3221F" w:rsidRDefault="00B3221F" w:rsidP="004E0CA0"/>
    <w:p w14:paraId="2F86FF29" w14:textId="77777777" w:rsidR="00B3221F" w:rsidRDefault="00B3221F" w:rsidP="004E0CA0"/>
    <w:p w14:paraId="7B7DE393" w14:textId="77777777" w:rsidR="00B3221F" w:rsidRDefault="00B3221F" w:rsidP="004E0CA0"/>
    <w:p w14:paraId="6BB7E4AD" w14:textId="77777777" w:rsidR="00B3221F" w:rsidRDefault="00B3221F" w:rsidP="004E0CA0"/>
    <w:p w14:paraId="30031979" w14:textId="77777777" w:rsidR="00B3221F" w:rsidRDefault="00B3221F" w:rsidP="004E0CA0"/>
    <w:p w14:paraId="6FF8649E" w14:textId="08CCB331" w:rsidR="000B4202" w:rsidRDefault="0021071B" w:rsidP="004E0CA0">
      <w:r>
        <w:t>Investors believe i</w:t>
      </w:r>
      <w:r w:rsidR="007145A7">
        <w:t>t</w:t>
      </w:r>
      <w:r w:rsidR="00D712E9">
        <w:t xml:space="preserve"> will be earnings that drive prices not momentum. From a risk return perspective, markets are improving:</w:t>
      </w:r>
    </w:p>
    <w:p w14:paraId="43E51706" w14:textId="3CE89F1F" w:rsidR="00375195" w:rsidRDefault="00B3221F" w:rsidP="00A87065">
      <w:pPr>
        <w:jc w:val="center"/>
      </w:pPr>
      <w:r w:rsidRPr="00B3221F">
        <w:rPr>
          <w:noProof/>
        </w:rPr>
        <w:drawing>
          <wp:inline distT="0" distB="0" distL="0" distR="0" wp14:anchorId="545A2F2D" wp14:editId="75420BB8">
            <wp:extent cx="5731510" cy="3999865"/>
            <wp:effectExtent l="0" t="0" r="0" b="0"/>
            <wp:docPr id="1475618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99865"/>
                    </a:xfrm>
                    <a:prstGeom prst="rect">
                      <a:avLst/>
                    </a:prstGeom>
                    <a:noFill/>
                    <a:ln>
                      <a:noFill/>
                    </a:ln>
                  </pic:spPr>
                </pic:pic>
              </a:graphicData>
            </a:graphic>
          </wp:inline>
        </w:drawing>
      </w:r>
    </w:p>
    <w:p w14:paraId="708850CE" w14:textId="427B5704" w:rsidR="00D712E9" w:rsidRDefault="00D712E9" w:rsidP="00D712E9">
      <w:r w:rsidRPr="00D712E9">
        <w:rPr>
          <w:sz w:val="18"/>
        </w:rPr>
        <w:t xml:space="preserve"> </w:t>
      </w:r>
      <w:r w:rsidRPr="00A70A09">
        <w:rPr>
          <w:sz w:val="18"/>
        </w:rPr>
        <w:t xml:space="preserve">Source data: Lonsec as of </w:t>
      </w:r>
      <w:r w:rsidR="00D528C0">
        <w:rPr>
          <w:sz w:val="18"/>
        </w:rPr>
        <w:t>3</w:t>
      </w:r>
      <w:r w:rsidR="00B3221F">
        <w:rPr>
          <w:sz w:val="18"/>
        </w:rPr>
        <w:t>0</w:t>
      </w:r>
      <w:r w:rsidR="00B3221F" w:rsidRPr="00B3221F">
        <w:rPr>
          <w:sz w:val="18"/>
          <w:vertAlign w:val="superscript"/>
        </w:rPr>
        <w:t>th</w:t>
      </w:r>
      <w:r w:rsidR="00B3221F">
        <w:rPr>
          <w:sz w:val="18"/>
        </w:rPr>
        <w:t xml:space="preserve"> June </w:t>
      </w:r>
      <w:r>
        <w:rPr>
          <w:sz w:val="18"/>
        </w:rPr>
        <w:t>2024</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096814E6" w14:textId="322D8C2B" w:rsidR="003757D8" w:rsidRPr="005C178D" w:rsidRDefault="003627B9" w:rsidP="003757D8">
      <w:pPr>
        <w:spacing w:before="120"/>
      </w:pPr>
      <w:r>
        <w:t>In Australia, t</w:t>
      </w:r>
      <w:r w:rsidR="005D39F6">
        <w:t>he</w:t>
      </w:r>
      <w:r w:rsidR="005D39F6" w:rsidRPr="005D39F6">
        <w:t xml:space="preserve"> S&amp;PASX200 volatility (VIX) </w:t>
      </w:r>
      <w:r w:rsidR="00A85212">
        <w:t xml:space="preserve">had a bumpy month over June 2024 </w:t>
      </w:r>
      <w:r w:rsidR="005D39F6" w:rsidRPr="005D39F6">
        <w:t xml:space="preserve">closing at </w:t>
      </w:r>
      <w:r w:rsidR="00811AB7">
        <w:t>11.</w:t>
      </w:r>
      <w:r w:rsidR="00922DE0">
        <w:t>5</w:t>
      </w:r>
      <w:r w:rsidR="00A85212">
        <w:t>7</w:t>
      </w:r>
      <w:r w:rsidR="005D39F6" w:rsidRPr="005D39F6">
        <w:t xml:space="preserve"> as of </w:t>
      </w:r>
      <w:r w:rsidR="00A85212">
        <w:t>28</w:t>
      </w:r>
      <w:r w:rsidR="00A85212" w:rsidRPr="00A85212">
        <w:rPr>
          <w:vertAlign w:val="superscript"/>
        </w:rPr>
        <w:t>th</w:t>
      </w:r>
      <w:r w:rsidR="00A85212">
        <w:t xml:space="preserve"> June </w:t>
      </w:r>
      <w:r w:rsidR="005D39F6" w:rsidRPr="005D39F6">
        <w:t xml:space="preserve">2024 after finishing </w:t>
      </w:r>
      <w:r w:rsidR="00A85212">
        <w:t>May</w:t>
      </w:r>
      <w:r w:rsidR="005D39F6" w:rsidRPr="005D39F6">
        <w:t xml:space="preserve"> 2024 at </w:t>
      </w:r>
      <w:r w:rsidR="00922DE0">
        <w:t>11.</w:t>
      </w:r>
      <w:r w:rsidR="00A85212">
        <w:t>54</w:t>
      </w:r>
      <w:r w:rsidR="005D39F6" w:rsidRPr="005D39F6">
        <w:t xml:space="preserve">. </w:t>
      </w:r>
      <w:r w:rsidR="00A85212">
        <w:t>It did hit a low of 7.8 on the 26</w:t>
      </w:r>
      <w:r w:rsidR="00A85212" w:rsidRPr="00A85212">
        <w:rPr>
          <w:vertAlign w:val="superscript"/>
        </w:rPr>
        <w:t>th of</w:t>
      </w:r>
      <w:r w:rsidR="00A85212">
        <w:t xml:space="preserve"> June 2024. </w:t>
      </w:r>
      <w:r w:rsidR="005D39F6" w:rsidRPr="005D39F6">
        <w:t>It is currently trading at 1</w:t>
      </w:r>
      <w:r w:rsidR="00922DE0">
        <w:t>1</w:t>
      </w:r>
      <w:r w:rsidR="002032E2">
        <w:t>.</w:t>
      </w:r>
      <w:r w:rsidR="00922DE0">
        <w:t>6</w:t>
      </w:r>
      <w:r w:rsidR="00A85212">
        <w:t>5</w:t>
      </w:r>
      <w:r w:rsidR="005D39F6" w:rsidRPr="005D39F6">
        <w:t xml:space="preserve"> as at close of business 1</w:t>
      </w:r>
      <w:r w:rsidR="00922DE0">
        <w:t>2</w:t>
      </w:r>
      <w:r w:rsidR="005D39F6" w:rsidRPr="005D39F6">
        <w:t xml:space="preserve">th </w:t>
      </w:r>
      <w:r w:rsidR="00922DE0">
        <w:t>Ju</w:t>
      </w:r>
      <w:r w:rsidR="00A85212">
        <w:t>ly</w:t>
      </w:r>
      <w:r w:rsidR="005D39F6" w:rsidRPr="005D39F6">
        <w:t xml:space="preserve"> 2024 (Source: S&amp;P/ASX200 VIX).</w:t>
      </w:r>
      <w:r w:rsidR="00966124" w:rsidRPr="005C178D">
        <w:t xml:space="preserve"> </w:t>
      </w:r>
      <w:r w:rsidR="001B08D3" w:rsidRPr="005C178D">
        <w:t xml:space="preserve">Looks like </w:t>
      </w:r>
      <w:r w:rsidR="001B08D3" w:rsidRPr="005C178D">
        <w:lastRenderedPageBreak/>
        <w:t xml:space="preserve">the market is </w:t>
      </w:r>
      <w:r w:rsidR="00A97612" w:rsidRPr="005C178D">
        <w:t xml:space="preserve">expecting </w:t>
      </w:r>
      <w:r w:rsidR="00F133F4">
        <w:t xml:space="preserve">much of the same, with </w:t>
      </w:r>
      <w:r w:rsidR="005D39F6">
        <w:t>no surprises</w:t>
      </w:r>
      <w:r w:rsidR="006A4952" w:rsidRPr="005C178D">
        <w:t xml:space="preserve"> in </w:t>
      </w:r>
      <w:r w:rsidR="005D39F6">
        <w:t xml:space="preserve">terms of </w:t>
      </w:r>
      <w:r w:rsidR="006A4952" w:rsidRPr="005C178D">
        <w:t>volatility</w:t>
      </w:r>
      <w:r w:rsidR="005D39F6">
        <w:t>,</w:t>
      </w:r>
      <w:r w:rsidR="00A97612" w:rsidRPr="005C178D">
        <w:t xml:space="preserve"> in the month ahead.</w:t>
      </w:r>
    </w:p>
    <w:p w14:paraId="74599E14" w14:textId="0293709D" w:rsidR="002D5D13" w:rsidRDefault="002D5D13" w:rsidP="002D5D13">
      <w:r>
        <w:t>The e</w:t>
      </w:r>
      <w:r w:rsidR="009E742F">
        <w:t>xpectations for fu</w:t>
      </w:r>
      <w:r>
        <w:t>ture</w:t>
      </w:r>
      <w:r w:rsidR="009E742F">
        <w:t xml:space="preserve"> </w:t>
      </w:r>
      <w:r>
        <w:t xml:space="preserve">easing of </w:t>
      </w:r>
      <w:r w:rsidR="009E742F">
        <w:t>interest rate</w:t>
      </w:r>
      <w:r w:rsidR="00F133F4">
        <w:t>s</w:t>
      </w:r>
      <w:r w:rsidR="00780ED6">
        <w:t xml:space="preserve"> </w:t>
      </w:r>
      <w:r w:rsidR="00F133F4">
        <w:t>have been pushed further down the line with the Australian futures market pricing in only one easing later in the year (</w:t>
      </w:r>
      <w:r w:rsidR="00784097">
        <w:t>November 2024</w:t>
      </w:r>
      <w:r w:rsidR="00F133F4">
        <w:t>)</w:t>
      </w:r>
      <w:r>
        <w:t xml:space="preserve">. </w:t>
      </w:r>
    </w:p>
    <w:p w14:paraId="6664BFA6" w14:textId="584D4734" w:rsidR="008B2268" w:rsidRDefault="008B2268" w:rsidP="004E0CA0">
      <w:r>
        <w:t xml:space="preserve">The </w:t>
      </w:r>
      <w:r w:rsidR="009756E0">
        <w:t>issues at the forefront of investors thoughts included</w:t>
      </w:r>
      <w:r>
        <w:t>:</w:t>
      </w:r>
    </w:p>
    <w:p w14:paraId="34A13A22" w14:textId="4C044DA9" w:rsidR="00360014" w:rsidRDefault="00360014" w:rsidP="00252B62">
      <w:pPr>
        <w:pStyle w:val="ListParagraph"/>
        <w:numPr>
          <w:ilvl w:val="0"/>
          <w:numId w:val="8"/>
        </w:numPr>
      </w:pPr>
      <w:r>
        <w:t xml:space="preserve">US Politics – </w:t>
      </w:r>
      <w:r w:rsidRPr="00456B36">
        <w:rPr>
          <w:b/>
          <w:bCs/>
        </w:rPr>
        <w:t>Assignation attempt</w:t>
      </w:r>
      <w:r>
        <w:t xml:space="preserve"> of the former President and Republican nominee, Donald Trump at the Pennsylvania rally</w:t>
      </w:r>
      <w:r w:rsidR="00456B36">
        <w:t xml:space="preserve"> held at Butler on Saturday, 13</w:t>
      </w:r>
      <w:r w:rsidR="00456B36" w:rsidRPr="00456B36">
        <w:rPr>
          <w:vertAlign w:val="superscript"/>
        </w:rPr>
        <w:t>th</w:t>
      </w:r>
      <w:r w:rsidR="00456B36">
        <w:t xml:space="preserve"> July 2024. What will be the market response?</w:t>
      </w:r>
    </w:p>
    <w:p w14:paraId="568D4ABF" w14:textId="050BE6C8" w:rsidR="008C3AF3" w:rsidRDefault="008C3AF3" w:rsidP="00252B62">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Humas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7129F3CE" w:rsidR="002A71FA" w:rsidRDefault="00601243" w:rsidP="00252B62">
      <w:pPr>
        <w:pStyle w:val="ListParagraph"/>
        <w:numPr>
          <w:ilvl w:val="0"/>
          <w:numId w:val="8"/>
        </w:numPr>
      </w:pPr>
      <w:r>
        <w:t xml:space="preserve">Global growth – </w:t>
      </w:r>
      <w:r w:rsidR="001415A2">
        <w:t>for our region</w:t>
      </w:r>
      <w:r w:rsidR="00D357C4">
        <w:t>,</w:t>
      </w:r>
      <w:r w:rsidR="001415A2">
        <w:t xml:space="preserve"> </w:t>
      </w:r>
      <w:r>
        <w:t xml:space="preserve">China is the focus with property developers </w:t>
      </w:r>
      <w:r w:rsidR="00D357C4">
        <w:t>still causing problems.</w:t>
      </w:r>
      <w:r>
        <w:t xml:space="preserve"> The ramifications </w:t>
      </w:r>
      <w:r w:rsidR="00A97612">
        <w:t xml:space="preserve">are that if </w:t>
      </w:r>
      <w:r>
        <w:t xml:space="preserve">China </w:t>
      </w:r>
      <w:r w:rsidR="00764C50">
        <w:t xml:space="preserve">starts to emerge from these </w:t>
      </w:r>
      <w:r w:rsidR="006078FE">
        <w:t>challenges,</w:t>
      </w:r>
      <w:r w:rsidR="00764C50">
        <w:t xml:space="preserve"> then, </w:t>
      </w:r>
      <w:r>
        <w:t xml:space="preserve">Australia will </w:t>
      </w:r>
      <w:r w:rsidR="001B08D3">
        <w:t>be</w:t>
      </w:r>
      <w:r w:rsidR="00764C50">
        <w:t>nefit</w:t>
      </w:r>
      <w:r>
        <w:t xml:space="preserve"> given, they are our biggest trading partner.</w:t>
      </w:r>
    </w:p>
    <w:p w14:paraId="0D3E5B51" w14:textId="30BAC8A5" w:rsidR="00BC11B5" w:rsidRDefault="00BC11B5" w:rsidP="00252B62">
      <w:pPr>
        <w:pStyle w:val="ListParagraph"/>
        <w:numPr>
          <w:ilvl w:val="0"/>
          <w:numId w:val="8"/>
        </w:numPr>
      </w:pPr>
      <w:r>
        <w:t xml:space="preserve">Inflation </w:t>
      </w:r>
      <w:r w:rsidR="003627B9">
        <w:t>marking time with a slight easing bias is aiding optimism</w:t>
      </w:r>
      <w:r w:rsidR="00B115AE">
        <w:t>,</w:t>
      </w:r>
      <w:r w:rsidR="00397D87">
        <w:t xml:space="preserve"> </w:t>
      </w:r>
      <w:r w:rsidR="000A26DE">
        <w:t xml:space="preserve">although </w:t>
      </w:r>
      <w:r w:rsidR="00456B36">
        <w:t xml:space="preserve">mostly </w:t>
      </w:r>
      <w:r w:rsidR="00397D87">
        <w:t xml:space="preserve">stubbornly </w:t>
      </w:r>
      <w:r w:rsidR="00601243">
        <w:t>above the target ranges of Central banks</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6BB34431" w:rsidR="00BC11B5" w:rsidRDefault="00BC11B5" w:rsidP="00252B62">
      <w:pPr>
        <w:pStyle w:val="ListParagraph"/>
        <w:numPr>
          <w:ilvl w:val="0"/>
          <w:numId w:val="8"/>
        </w:numPr>
      </w:pPr>
      <w:r>
        <w:t xml:space="preserve">Bond markets </w:t>
      </w:r>
      <w:r w:rsidR="00FB0752">
        <w:t xml:space="preserve">and </w:t>
      </w:r>
      <w:r w:rsidR="00B44AF0">
        <w:t xml:space="preserve">their response to the </w:t>
      </w:r>
      <w:r w:rsidR="00E7618A">
        <w:t xml:space="preserve">start of easing by several Central Banks helped by the </w:t>
      </w:r>
      <w:r w:rsidR="00B44AF0">
        <w:t>latest inflation print</w:t>
      </w:r>
      <w:r w:rsidR="0021071B">
        <w:t xml:space="preserve">. With </w:t>
      </w:r>
      <w:proofErr w:type="gramStart"/>
      <w:r w:rsidR="006820B4">
        <w:t>a number of</w:t>
      </w:r>
      <w:proofErr w:type="gramEnd"/>
      <w:r w:rsidR="0021071B">
        <w:t xml:space="preserve"> Central Banks moving to stimulate their economy early through easing interest rates, </w:t>
      </w:r>
      <w:r w:rsidR="00A97612">
        <w:t>the debt markets</w:t>
      </w:r>
      <w:r w:rsidR="00B115AE">
        <w:t xml:space="preserve"> </w:t>
      </w:r>
      <w:r w:rsidR="0021071B">
        <w:t xml:space="preserve">remain </w:t>
      </w:r>
      <w:r w:rsidR="00B115AE">
        <w:t>hesitant</w:t>
      </w:r>
      <w:r w:rsidR="00E7618A">
        <w:t>,</w:t>
      </w:r>
      <w:r w:rsidR="00B115AE">
        <w:t xml:space="preserve"> </w:t>
      </w:r>
      <w:r w:rsidR="0021071B">
        <w:t>choosing not to get too excited too early</w:t>
      </w:r>
      <w:r w:rsidR="006820B4">
        <w:t xml:space="preserve">. </w:t>
      </w:r>
    </w:p>
    <w:p w14:paraId="07A4B833" w14:textId="3F81A4E9" w:rsidR="008B2268" w:rsidRDefault="002C6C3E" w:rsidP="00252B62">
      <w:pPr>
        <w:pStyle w:val="ListParagraph"/>
        <w:numPr>
          <w:ilvl w:val="0"/>
          <w:numId w:val="8"/>
        </w:numPr>
      </w:pPr>
      <w:r>
        <w:t>M</w:t>
      </w:r>
      <w:r w:rsidR="00894F9E">
        <w:t>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cautious optimism</w:t>
      </w:r>
      <w:r w:rsidR="000218F1">
        <w:t>, navigate this period of uncertainty,</w:t>
      </w:r>
      <w:r w:rsidR="00B13339">
        <w:t xml:space="preserve"> and expect better conditions to prevail in the </w:t>
      </w:r>
      <w:r w:rsidR="00811AB7">
        <w:t>3rd</w:t>
      </w:r>
      <w:r w:rsidR="005D4428">
        <w:t xml:space="preserve"> and </w:t>
      </w:r>
      <w:r w:rsidR="00811AB7">
        <w:t>4th</w:t>
      </w:r>
      <w:r w:rsidR="005D4428">
        <w:t xml:space="preserve"> quarter of 2024.</w:t>
      </w:r>
      <w:r w:rsidR="00A00F13">
        <w:t xml:space="preserve"> </w:t>
      </w:r>
    </w:p>
    <w:p w14:paraId="56D9FA2F" w14:textId="20CC744E" w:rsidR="009300A6" w:rsidRDefault="00BC11B5" w:rsidP="004E0CA0">
      <w:r>
        <w:t>Locally the d</w:t>
      </w:r>
      <w:r w:rsidR="009300A6">
        <w:t xml:space="preserve">omestic house prices </w:t>
      </w:r>
      <w:r w:rsidR="00B648FE">
        <w:t xml:space="preserve">continued to </w:t>
      </w:r>
      <w:r w:rsidR="00384EB8">
        <w:t xml:space="preserve">drift higher </w:t>
      </w:r>
      <w:r w:rsidR="00114A2E">
        <w:t xml:space="preserve">despite the </w:t>
      </w:r>
      <w:r w:rsidR="009300A6">
        <w:t>brunt of the interest rate rises</w:t>
      </w:r>
      <w:r w:rsidR="00A00F13">
        <w:t xml:space="preserve"> </w:t>
      </w:r>
      <w:r w:rsidR="00384EB8">
        <w:t xml:space="preserve">as </w:t>
      </w:r>
      <w:r w:rsidR="00811AB7">
        <w:t xml:space="preserve">demand </w:t>
      </w:r>
      <w:r w:rsidR="0021071B">
        <w:t xml:space="preserve">continues to </w:t>
      </w:r>
      <w:r w:rsidR="00811AB7">
        <w:t xml:space="preserve">outstrip supply across </w:t>
      </w:r>
      <w:r w:rsidR="00A00F13">
        <w:t xml:space="preserve">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well </w:t>
      </w:r>
      <w:r>
        <w:t xml:space="preserve">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w:t>
      </w:r>
      <w:r w:rsidR="005E2C87">
        <w:t>4.0%</w:t>
      </w:r>
      <w:r w:rsidR="00811AB7">
        <w:t xml:space="preserve"> in Ma</w:t>
      </w:r>
      <w:r w:rsidR="005E2C87">
        <w:t>y</w:t>
      </w:r>
      <w:r w:rsidR="00811AB7">
        <w:t xml:space="preserve"> 2024 </w:t>
      </w:r>
      <w:r w:rsidR="005E2C87">
        <w:t>down</w:t>
      </w:r>
      <w:r w:rsidR="00811AB7">
        <w:t xml:space="preserve"> from </w:t>
      </w:r>
      <w:r w:rsidR="005E2C87">
        <w:t>4.1</w:t>
      </w:r>
      <w:r w:rsidR="00384EB8">
        <w:t>%</w:t>
      </w:r>
      <w:r w:rsidR="00B04E1B">
        <w:t xml:space="preserve"> in </w:t>
      </w:r>
      <w:r w:rsidR="005E2C87">
        <w:t>April</w:t>
      </w:r>
      <w:r w:rsidR="00B04E1B">
        <w:t xml:space="preserve"> 202</w:t>
      </w:r>
      <w:r w:rsidR="005D4428">
        <w:t>4</w:t>
      </w:r>
      <w:r w:rsidR="002A13EC">
        <w:t>.</w:t>
      </w:r>
    </w:p>
    <w:p w14:paraId="6362B567" w14:textId="20524304" w:rsidR="007E753C" w:rsidRDefault="00BB0237" w:rsidP="00BD4294">
      <w:r>
        <w:t>The latest</w:t>
      </w:r>
      <w:r w:rsidR="00533128">
        <w:t xml:space="preserve"> inflation </w:t>
      </w:r>
      <w:r w:rsidR="005E2C87">
        <w:t>prints</w:t>
      </w:r>
      <w:r w:rsidR="00533128">
        <w:t xml:space="preserve"> </w:t>
      </w:r>
      <w:r w:rsidR="002A13EC">
        <w:t xml:space="preserve">for </w:t>
      </w:r>
      <w:r w:rsidR="005E2C87">
        <w:t xml:space="preserve">(year-on-year) </w:t>
      </w:r>
      <w:r w:rsidR="000E45E4">
        <w:t>f</w:t>
      </w:r>
      <w:r w:rsidR="00811AB7">
        <w:t>irst</w:t>
      </w:r>
      <w:r w:rsidR="00E3272D">
        <w:t xml:space="preserve"> quarter </w:t>
      </w:r>
      <w:r w:rsidR="00B648FE">
        <w:t>of 202</w:t>
      </w:r>
      <w:r w:rsidR="00811AB7">
        <w:t>4</w:t>
      </w:r>
      <w:r w:rsidR="00B648FE">
        <w:t xml:space="preserve"> </w:t>
      </w:r>
      <w:r w:rsidR="00533128">
        <w:t xml:space="preserve">in </w:t>
      </w:r>
      <w:r w:rsidR="00742B86">
        <w:t xml:space="preserve">Australia was </w:t>
      </w:r>
      <w:r w:rsidR="00811AB7">
        <w:t>3.6</w:t>
      </w:r>
      <w:r w:rsidR="00B26539">
        <w:t xml:space="preserve">% </w:t>
      </w:r>
      <w:r w:rsidR="002A13EC">
        <w:t xml:space="preserve">which was </w:t>
      </w:r>
      <w:r w:rsidR="00B648FE">
        <w:t>down</w:t>
      </w:r>
      <w:r w:rsidR="002A13EC">
        <w:t xml:space="preserve"> from the </w:t>
      </w:r>
      <w:r w:rsidR="000E45E4">
        <w:t>4</w:t>
      </w:r>
      <w:r w:rsidR="00811AB7">
        <w:t>.1</w:t>
      </w:r>
      <w:r w:rsidR="002A13EC">
        <w:t xml:space="preserve">% in the </w:t>
      </w:r>
      <w:r w:rsidR="00811AB7">
        <w:t>fourth</w:t>
      </w:r>
      <w:r w:rsidR="002A13EC">
        <w:t xml:space="preserve"> quarter of 202</w:t>
      </w:r>
      <w:r w:rsidR="00B21D78">
        <w:t>3</w:t>
      </w:r>
      <w:r w:rsidR="00B648FE">
        <w:t xml:space="preserve"> but still elevated</w:t>
      </w:r>
      <w:r w:rsidR="002A13EC">
        <w:t xml:space="preserve">. </w:t>
      </w:r>
      <w:r w:rsidR="001A2453">
        <w:t xml:space="preserve">Despite the </w:t>
      </w:r>
      <w:r w:rsidR="005E2C87">
        <w:t>improving</w:t>
      </w:r>
      <w:r w:rsidR="001A2453">
        <w:t xml:space="preserve"> level of </w:t>
      </w:r>
      <w:r w:rsidR="001A2453">
        <w:lastRenderedPageBreak/>
        <w:t>inflation, t</w:t>
      </w:r>
      <w:r w:rsidR="00C103CF">
        <w:t xml:space="preserve">he RBA </w:t>
      </w:r>
      <w:r w:rsidR="001A2453">
        <w:t xml:space="preserve"> voted 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777F49">
        <w:t>18</w:t>
      </w:r>
      <w:r w:rsidR="00EF6467" w:rsidRPr="00EF169D">
        <w:rPr>
          <w:vertAlign w:val="superscript"/>
        </w:rPr>
        <w:t>th of</w:t>
      </w:r>
      <w:r w:rsidR="00EF169D">
        <w:t xml:space="preserve"> </w:t>
      </w:r>
      <w:r w:rsidR="00777F49">
        <w:t>June</w:t>
      </w:r>
      <w:r w:rsidR="00E3272D">
        <w:t xml:space="preserve"> </w:t>
      </w:r>
      <w:r w:rsidR="00634FDD">
        <w:t>202</w:t>
      </w:r>
      <w:r w:rsidR="000E45E4">
        <w:t>4</w:t>
      </w:r>
      <w:r w:rsidR="00EF169D">
        <w:t>.</w:t>
      </w:r>
      <w:r w:rsidR="002A13EC">
        <w:t xml:space="preserve"> </w:t>
      </w:r>
    </w:p>
    <w:p w14:paraId="734BC06E" w14:textId="77777777" w:rsidR="00300938" w:rsidRDefault="00784798" w:rsidP="004E0CA0">
      <w:r>
        <w:t>Despite the political conflict</w:t>
      </w:r>
      <w:r w:rsidR="002C6C3E">
        <w:t xml:space="preserve">, the investment markets are looking stronger </w:t>
      </w:r>
      <w:r w:rsidR="00E7618A">
        <w:t>boosted</w:t>
      </w:r>
      <w:r w:rsidR="002C6C3E">
        <w:t xml:space="preserve"> by</w:t>
      </w:r>
      <w:r>
        <w:t xml:space="preserve"> </w:t>
      </w:r>
      <w:r w:rsidR="002C6C3E">
        <w:t>company</w:t>
      </w:r>
      <w:r>
        <w:t xml:space="preserve"> </w:t>
      </w:r>
      <w:r w:rsidR="008A4A7F" w:rsidRPr="008A4A7F">
        <w:t xml:space="preserve">fundamentals </w:t>
      </w:r>
      <w:r w:rsidR="002C6C3E">
        <w:t xml:space="preserve">which are </w:t>
      </w:r>
      <w:r w:rsidR="00DB4D4C">
        <w:t xml:space="preserve">still supportive of longer-term </w:t>
      </w:r>
      <w:r w:rsidR="005C4645">
        <w:t xml:space="preserve">recovery but not without </w:t>
      </w:r>
      <w:r w:rsidR="0046215F">
        <w:t>short-term downside risk</w:t>
      </w:r>
      <w:r w:rsidR="005C4645">
        <w:t xml:space="preserve">. </w:t>
      </w:r>
    </w:p>
    <w:p w14:paraId="0FBDDE4B" w14:textId="55212315" w:rsidR="0046215F" w:rsidRDefault="005C4645" w:rsidP="004E0CA0">
      <w:r>
        <w:t xml:space="preserve">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C103CF">
        <w:t xml:space="preserve">short </w:t>
      </w:r>
      <w:r w:rsidR="006A01FF">
        <w:t>term and</w:t>
      </w:r>
      <w:r w:rsidR="00C103CF">
        <w:t xml:space="preserve"> </w:t>
      </w:r>
      <w:r w:rsidR="00396B3C">
        <w:t xml:space="preserve">remain </w:t>
      </w:r>
      <w:r w:rsidR="00784798" w:rsidRPr="00784798">
        <w:rPr>
          <w:b/>
          <w:bCs/>
        </w:rPr>
        <w:t>“optimistic”</w:t>
      </w:r>
      <w:r w:rsidR="00784798">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an economic slowdown </w:t>
      </w:r>
      <w:r w:rsidR="005F21FA">
        <w:t xml:space="preserve"> at some future point</w:t>
      </w:r>
      <w:r w:rsidR="00634FDD">
        <w:t xml:space="preserve"> but the </w:t>
      </w:r>
      <w:r w:rsidR="008970F9">
        <w:t>severity is now seen as limited</w:t>
      </w:r>
      <w:r w:rsidR="00B26539">
        <w:t>.</w:t>
      </w:r>
      <w:r>
        <w:t xml:space="preserve"> </w:t>
      </w:r>
      <w:r w:rsidR="006A01FF">
        <w:t xml:space="preserve">We are looking for a </w:t>
      </w:r>
      <w:r w:rsidR="006A01FF" w:rsidRPr="006A01FF">
        <w:rPr>
          <w:b/>
          <w:bCs/>
        </w:rPr>
        <w:t>soft landing</w:t>
      </w:r>
      <w:r w:rsidR="006A01FF">
        <w:t xml:space="preserve"> for Australia.</w:t>
      </w:r>
    </w:p>
    <w:p w14:paraId="247AB076" w14:textId="11C4F6CE"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404E3B">
        <w:t xml:space="preserve">Property developers </w:t>
      </w:r>
      <w:r w:rsidR="00E3272D">
        <w:t>which is holding back the improving underlying market conditions</w:t>
      </w:r>
      <w:r w:rsidR="00190B5B">
        <w:t xml:space="preserve"> in the region</w:t>
      </w:r>
      <w:r w:rsidR="00E3272D">
        <w:t xml:space="preserve">. </w:t>
      </w:r>
    </w:p>
    <w:p w14:paraId="0E2E95FA" w14:textId="5D737C99"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777F49">
        <w:rPr>
          <w:b/>
          <w:bCs/>
        </w:rPr>
        <w:t>0</w:t>
      </w:r>
      <w:r w:rsidR="00777F49" w:rsidRPr="00777F49">
        <w:rPr>
          <w:b/>
          <w:bCs/>
          <w:vertAlign w:val="superscript"/>
        </w:rPr>
        <w:t>th</w:t>
      </w:r>
      <w:r w:rsidR="00777F49">
        <w:rPr>
          <w:b/>
          <w:bCs/>
        </w:rPr>
        <w:t xml:space="preserve"> June</w:t>
      </w:r>
      <w:r w:rsidRPr="004B4415">
        <w:rPr>
          <w:b/>
          <w:bCs/>
        </w:rPr>
        <w:t xml:space="preserve"> 202</w:t>
      </w:r>
      <w:r w:rsidR="00190B5B">
        <w:rPr>
          <w:b/>
          <w:bCs/>
        </w:rPr>
        <w:t>4</w:t>
      </w:r>
      <w:r w:rsidRPr="004B4415">
        <w:rPr>
          <w:b/>
          <w:bCs/>
        </w:rPr>
        <w:t>:</w:t>
      </w:r>
    </w:p>
    <w:p w14:paraId="13295CC7" w14:textId="20BB8FD2" w:rsidR="004104F2" w:rsidRDefault="00777F49" w:rsidP="00B53288">
      <w:r w:rsidRPr="00777F49">
        <w:rPr>
          <w:noProof/>
        </w:rPr>
        <w:drawing>
          <wp:inline distT="0" distB="0" distL="0" distR="0" wp14:anchorId="5CD5C1F0" wp14:editId="63787F61">
            <wp:extent cx="5409565" cy="1405890"/>
            <wp:effectExtent l="0" t="0" r="0" b="0"/>
            <wp:docPr id="943850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9565" cy="1405890"/>
                    </a:xfrm>
                    <a:prstGeom prst="rect">
                      <a:avLst/>
                    </a:prstGeom>
                    <a:noFill/>
                    <a:ln>
                      <a:noFill/>
                    </a:ln>
                  </pic:spPr>
                </pic:pic>
              </a:graphicData>
            </a:graphic>
          </wp:inline>
        </w:drawing>
      </w:r>
    </w:p>
    <w:p w14:paraId="549039F8" w14:textId="6D7DD29E" w:rsidR="00867438" w:rsidRPr="00055F78" w:rsidRDefault="001308C8" w:rsidP="00055F78">
      <w:pPr>
        <w:jc w:val="center"/>
        <w:rPr>
          <w:sz w:val="18"/>
        </w:rPr>
      </w:pPr>
      <w:r w:rsidRPr="00A70A09">
        <w:rPr>
          <w:sz w:val="18"/>
        </w:rPr>
        <w:t xml:space="preserve">Source data: Lonsec as of </w:t>
      </w:r>
      <w:r w:rsidR="00D528C0">
        <w:rPr>
          <w:sz w:val="18"/>
        </w:rPr>
        <w:t>3</w:t>
      </w:r>
      <w:r w:rsidR="00A001EA">
        <w:rPr>
          <w:sz w:val="18"/>
        </w:rPr>
        <w:t>0th</w:t>
      </w:r>
      <w:r w:rsidR="00C117E1">
        <w:rPr>
          <w:sz w:val="18"/>
        </w:rPr>
        <w:t xml:space="preserve"> </w:t>
      </w:r>
      <w:r w:rsidR="00A001EA">
        <w:rPr>
          <w:sz w:val="18"/>
        </w:rPr>
        <w:t xml:space="preserve">June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69138A">
        <w:fldChar w:fldCharType="separate"/>
      </w:r>
      <w:r w:rsidR="00BA2B8F">
        <w:fldChar w:fldCharType="end"/>
      </w:r>
    </w:p>
    <w:p w14:paraId="1DE3D6DE" w14:textId="5F16CD35" w:rsidR="000C7672" w:rsidRDefault="00A23AF0" w:rsidP="00B53288">
      <w:r>
        <w:t>The developed markets a</w:t>
      </w:r>
      <w:r w:rsidR="00365C86">
        <w:t xml:space="preserve">sset classes </w:t>
      </w:r>
      <w:r w:rsidR="00EF6467">
        <w:t>finished</w:t>
      </w:r>
      <w:r w:rsidR="00CE64CE">
        <w:t xml:space="preserve"> </w:t>
      </w:r>
      <w:r w:rsidR="00777F49">
        <w:t xml:space="preserve">mostly </w:t>
      </w:r>
      <w:r w:rsidR="005B03C8">
        <w:t>in positive territory</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inished</w:t>
      </w:r>
      <w:r w:rsidR="00396B3C">
        <w:t xml:space="preserve"> </w:t>
      </w:r>
      <w:r w:rsidR="00A001EA">
        <w:t xml:space="preserve">slightly lower at </w:t>
      </w:r>
      <w:r w:rsidR="00311F31">
        <w:t>0.66</w:t>
      </w:r>
      <w:r w:rsidR="00A001EA">
        <w:t>24</w:t>
      </w:r>
      <w:r w:rsidR="00311F31">
        <w:t xml:space="preserve"> </w:t>
      </w:r>
      <w:r>
        <w:t>(</w:t>
      </w:r>
      <w:r w:rsidR="00A001EA">
        <w:t>-0.20</w:t>
      </w:r>
      <w:r>
        <w:t>%)</w:t>
      </w:r>
      <w:r w:rsidR="007F0FC4">
        <w:t xml:space="preserve"> in the month which </w:t>
      </w:r>
      <w:r w:rsidR="00A001EA">
        <w:t>benefitted</w:t>
      </w:r>
      <w:r w:rsidR="007F0FC4">
        <w:t xml:space="preserve"> </w:t>
      </w:r>
      <w:r w:rsidR="00E7618A">
        <w:t xml:space="preserve">returns for </w:t>
      </w:r>
      <w:r w:rsidR="007F0FC4">
        <w:t xml:space="preserve">unhedged holdings. </w:t>
      </w:r>
    </w:p>
    <w:p w14:paraId="081A6CA1" w14:textId="77777777" w:rsidR="00300938" w:rsidRDefault="00300938" w:rsidP="00B53288">
      <w:pPr>
        <w:rPr>
          <w:b/>
          <w:bCs/>
        </w:rPr>
      </w:pPr>
    </w:p>
    <w:p w14:paraId="6264DCA2" w14:textId="77777777" w:rsidR="00300938" w:rsidRDefault="00300938" w:rsidP="00B53288">
      <w:pPr>
        <w:rPr>
          <w:b/>
          <w:bCs/>
        </w:rPr>
      </w:pPr>
    </w:p>
    <w:p w14:paraId="573CE5BF" w14:textId="77777777" w:rsidR="00300938" w:rsidRDefault="00300938" w:rsidP="00B53288">
      <w:pPr>
        <w:rPr>
          <w:b/>
          <w:bCs/>
        </w:rPr>
      </w:pPr>
    </w:p>
    <w:p w14:paraId="70FA395C" w14:textId="77777777" w:rsidR="00300938" w:rsidRDefault="00300938" w:rsidP="00B53288">
      <w:pPr>
        <w:rPr>
          <w:b/>
          <w:bCs/>
        </w:rPr>
      </w:pPr>
    </w:p>
    <w:p w14:paraId="629570A6" w14:textId="77777777" w:rsidR="00300938" w:rsidRDefault="00300938" w:rsidP="00B53288">
      <w:pPr>
        <w:rPr>
          <w:b/>
          <w:bCs/>
        </w:rPr>
      </w:pPr>
    </w:p>
    <w:p w14:paraId="60A38E5B" w14:textId="77777777" w:rsidR="00300938" w:rsidRDefault="00300938" w:rsidP="00B53288">
      <w:pPr>
        <w:rPr>
          <w:b/>
          <w:bCs/>
        </w:rPr>
      </w:pPr>
    </w:p>
    <w:p w14:paraId="774852C3" w14:textId="77777777" w:rsidR="00300938" w:rsidRDefault="00300938" w:rsidP="00B53288">
      <w:pPr>
        <w:rPr>
          <w:b/>
          <w:bCs/>
        </w:rPr>
      </w:pPr>
    </w:p>
    <w:p w14:paraId="4A4DCEFF" w14:textId="7D9925B4" w:rsidR="001C4340" w:rsidRPr="001C4340" w:rsidRDefault="001C4340" w:rsidP="00B53288">
      <w:pPr>
        <w:rPr>
          <w:b/>
          <w:bCs/>
        </w:rPr>
      </w:pPr>
      <w:r w:rsidRPr="001C4340">
        <w:rPr>
          <w:b/>
          <w:bCs/>
        </w:rPr>
        <w:lastRenderedPageBreak/>
        <w:t>Asset Class Performance</w:t>
      </w:r>
    </w:p>
    <w:p w14:paraId="5FFD9B16" w14:textId="7F393FDF" w:rsidR="00EA4358" w:rsidRDefault="00A001EA" w:rsidP="00A001EA">
      <w:pPr>
        <w:jc w:val="center"/>
      </w:pPr>
      <w:r w:rsidRPr="00A001EA">
        <w:rPr>
          <w:rFonts w:ascii="Calibri" w:hAnsi="Calibri" w:cs="Calibri"/>
          <w:noProof/>
          <w:color w:val="222222"/>
          <w:sz w:val="24"/>
          <w:szCs w:val="24"/>
          <w:shd w:val="clear" w:color="auto" w:fill="FFFFFF"/>
        </w:rPr>
        <w:drawing>
          <wp:inline distT="0" distB="0" distL="0" distR="0" wp14:anchorId="6B21D858" wp14:editId="558CB798">
            <wp:extent cx="5318679" cy="3258031"/>
            <wp:effectExtent l="0" t="0" r="0" b="0"/>
            <wp:docPr id="8316800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6504" cy="3299578"/>
                    </a:xfrm>
                    <a:prstGeom prst="rect">
                      <a:avLst/>
                    </a:prstGeom>
                    <a:noFill/>
                    <a:ln>
                      <a:noFill/>
                    </a:ln>
                  </pic:spPr>
                </pic:pic>
              </a:graphicData>
            </a:graphic>
          </wp:inline>
        </w:drawing>
      </w:r>
    </w:p>
    <w:p w14:paraId="4F173F3B" w14:textId="279D2A71" w:rsidR="00E2343E" w:rsidRDefault="001F3631" w:rsidP="00E7618A">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6C3C9E">
        <w:rPr>
          <w:sz w:val="16"/>
          <w:szCs w:val="16"/>
        </w:rPr>
        <w:t>3</w:t>
      </w:r>
      <w:r w:rsidR="00A001EA">
        <w:rPr>
          <w:sz w:val="16"/>
          <w:szCs w:val="16"/>
        </w:rPr>
        <w:t>0</w:t>
      </w:r>
      <w:r w:rsidR="00A001EA" w:rsidRPr="00A001EA">
        <w:rPr>
          <w:sz w:val="16"/>
          <w:szCs w:val="16"/>
          <w:vertAlign w:val="superscript"/>
        </w:rPr>
        <w:t>th</w:t>
      </w:r>
      <w:r w:rsidR="00A001EA">
        <w:rPr>
          <w:sz w:val="16"/>
          <w:szCs w:val="16"/>
        </w:rPr>
        <w:t xml:space="preserve"> June</w:t>
      </w:r>
      <w:r w:rsidR="00063F3C">
        <w:rPr>
          <w:sz w:val="16"/>
          <w:szCs w:val="16"/>
          <w:vertAlign w:val="superscript"/>
        </w:rPr>
        <w:t xml:space="preserve"> </w:t>
      </w:r>
      <w:r w:rsidR="004E3C80">
        <w:rPr>
          <w:sz w:val="16"/>
          <w:szCs w:val="16"/>
        </w:rPr>
        <w:t>202</w:t>
      </w:r>
      <w:r w:rsidR="00190B5B">
        <w:rPr>
          <w:sz w:val="16"/>
          <w:szCs w:val="16"/>
        </w:rPr>
        <w:t>4</w:t>
      </w:r>
      <w:r w:rsidR="0062338B">
        <w:rPr>
          <w:sz w:val="16"/>
          <w:szCs w:val="16"/>
        </w:rPr>
        <w:t xml:space="preserve"> </w:t>
      </w:r>
      <w:r w:rsidRPr="001F3631">
        <w:rPr>
          <w:sz w:val="16"/>
          <w:szCs w:val="16"/>
        </w:rPr>
        <w:t>&amp; Fox Asset Management</w:t>
      </w:r>
    </w:p>
    <w:p w14:paraId="68131F76" w14:textId="2622DB31"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1701C39F" w14:textId="0B7CE7CB"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A001EA">
        <w:t>remains</w:t>
      </w:r>
      <w:r w:rsidR="007C64CC">
        <w:t xml:space="preserve"> </w:t>
      </w:r>
      <w:r w:rsidR="001E16AE">
        <w:rPr>
          <w:b/>
          <w:bCs/>
        </w:rPr>
        <w:t>“</w:t>
      </w:r>
      <w:r w:rsidR="00311F31">
        <w:rPr>
          <w:b/>
          <w:bCs/>
        </w:rPr>
        <w:t>cautiously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074A1A">
        <w:t>wait for the interest rate markets to settle. T</w:t>
      </w:r>
      <w:r w:rsidR="00B02125">
        <w:t xml:space="preserve">he </w:t>
      </w:r>
      <w:r w:rsidR="00074A1A">
        <w:t>soft-landing</w:t>
      </w:r>
      <w:r w:rsidR="00B02125">
        <w:t xml:space="preserve"> </w:t>
      </w:r>
      <w:r w:rsidR="00074A1A">
        <w:t xml:space="preserve">expectations </w:t>
      </w:r>
      <w:r w:rsidR="00B02125">
        <w:t>and economic recovery</w:t>
      </w:r>
      <w:r w:rsidR="00074A1A">
        <w:t xml:space="preserve"> are still supported</w:t>
      </w:r>
      <w:r w:rsidR="00B02125">
        <w:t xml:space="preserve"> despite the </w:t>
      </w:r>
      <w:r w:rsidR="002627B9">
        <w:t xml:space="preserve">European and </w:t>
      </w:r>
      <w:r w:rsidR="001E16AE">
        <w:t xml:space="preserve">middle east conflict. </w:t>
      </w:r>
      <w:r w:rsidR="003B1467">
        <w:t xml:space="preserve">The recent </w:t>
      </w:r>
      <w:r w:rsidR="00E7618A">
        <w:t xml:space="preserve">US </w:t>
      </w:r>
      <w:r w:rsidR="00074A1A">
        <w:t xml:space="preserve">year-on-year </w:t>
      </w:r>
      <w:r w:rsidR="003B1467">
        <w:t xml:space="preserve">inflation numbers </w:t>
      </w:r>
      <w:r w:rsidR="00E7618A">
        <w:t>(</w:t>
      </w:r>
      <w:r w:rsidR="00E7618A" w:rsidRPr="00E7618A">
        <w:t>3.</w:t>
      </w:r>
      <w:r w:rsidR="00A001EA">
        <w:t>0</w:t>
      </w:r>
      <w:r w:rsidR="00E7618A" w:rsidRPr="00E7618A">
        <w:t xml:space="preserve">% in </w:t>
      </w:r>
      <w:r w:rsidR="00A001EA">
        <w:t>June</w:t>
      </w:r>
      <w:r w:rsidR="00E7618A" w:rsidRPr="00E7618A">
        <w:t xml:space="preserve"> 2024 from 3.</w:t>
      </w:r>
      <w:r w:rsidR="00A001EA">
        <w:t>3</w:t>
      </w:r>
      <w:r w:rsidR="00E7618A" w:rsidRPr="00E7618A">
        <w:t xml:space="preserve">% in </w:t>
      </w:r>
      <w:r w:rsidR="00A001EA">
        <w:t>May</w:t>
      </w:r>
      <w:r w:rsidR="00E7618A" w:rsidRPr="00E7618A">
        <w:t xml:space="preserve"> 2024</w:t>
      </w:r>
      <w:r w:rsidR="00E7618A">
        <w:t>),</w:t>
      </w:r>
      <w:r w:rsidR="00E7618A" w:rsidRPr="00E7618A">
        <w:t xml:space="preserve"> </w:t>
      </w:r>
      <w:r w:rsidR="00074A1A">
        <w:t xml:space="preserve">are supportive of the </w:t>
      </w:r>
      <w:r w:rsidR="00984AC0">
        <w:t>longer-term</w:t>
      </w:r>
      <w:r w:rsidR="00074A1A">
        <w:t xml:space="preserve"> expectations </w:t>
      </w:r>
      <w:r w:rsidR="00497862">
        <w:t xml:space="preserve">along with the </w:t>
      </w:r>
      <w:r w:rsidR="00074A1A">
        <w:t xml:space="preserve">month-on-month numbers </w:t>
      </w:r>
      <w:r w:rsidR="00984AC0">
        <w:t>(</w:t>
      </w:r>
      <w:r w:rsidR="00A001EA">
        <w:t>-</w:t>
      </w:r>
      <w:r w:rsidR="00497862">
        <w:t>0</w:t>
      </w:r>
      <w:r w:rsidR="00A001EA">
        <w:t>.1</w:t>
      </w:r>
      <w:r w:rsidR="00497862">
        <w:t>%</w:t>
      </w:r>
      <w:r w:rsidR="00984AC0">
        <w:t>)</w:t>
      </w:r>
      <w:r w:rsidR="00074A1A">
        <w:t xml:space="preserve"> in </w:t>
      </w:r>
      <w:r w:rsidR="00A001EA">
        <w:t>June</w:t>
      </w:r>
      <w:r w:rsidR="00497862">
        <w:t xml:space="preserve"> 2024</w:t>
      </w:r>
      <w:r w:rsidR="00E7618A">
        <w:t>,</w:t>
      </w:r>
      <w:r w:rsidR="00497862">
        <w:t xml:space="preserve"> will</w:t>
      </w:r>
      <w:r w:rsidR="003B1467">
        <w:t xml:space="preserve"> </w:t>
      </w:r>
      <w:r w:rsidR="00497862">
        <w:t xml:space="preserve">not impact </w:t>
      </w:r>
      <w:r w:rsidR="003B1467">
        <w:t xml:space="preserve">the risk appetite </w:t>
      </w:r>
      <w:r w:rsidR="00497862">
        <w:t xml:space="preserve">of investors </w:t>
      </w:r>
      <w:r w:rsidR="003B1467">
        <w:t xml:space="preserve">given inflation is </w:t>
      </w:r>
      <w:r w:rsidR="00A001EA">
        <w:t>slowly easing</w:t>
      </w:r>
      <w:r w:rsidR="00497862">
        <w:t>.</w:t>
      </w:r>
    </w:p>
    <w:p w14:paraId="0AEB38DD" w14:textId="13F0CFCA"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3B1467">
        <w:t xml:space="preserve"> -</w:t>
      </w:r>
      <w:r w:rsidR="003B1467">
        <w:rPr>
          <w:b/>
          <w:bCs/>
        </w:rPr>
        <w:t xml:space="preserve"> </w:t>
      </w:r>
      <w:r w:rsidR="003B1467" w:rsidRPr="003B1467">
        <w:t>this may prove to be premature as property valuations</w:t>
      </w:r>
      <w:r w:rsidR="0076645B">
        <w:t xml:space="preserve">, mainly office, </w:t>
      </w:r>
      <w:r w:rsidR="003B1467" w:rsidRPr="003B1467">
        <w:t>come June 30 may be impacted).</w:t>
      </w:r>
    </w:p>
    <w:p w14:paraId="4D2D3182" w14:textId="7DEAC998" w:rsidR="00201A4D" w:rsidRDefault="0089672B" w:rsidP="001E16AE">
      <w:pPr>
        <w:spacing w:before="120" w:after="120"/>
      </w:pPr>
      <w:r>
        <w:t xml:space="preserve">Consumption </w:t>
      </w:r>
      <w:r w:rsidR="00B04D6E">
        <w:t xml:space="preserve">is </w:t>
      </w:r>
      <w:r w:rsidR="00497862">
        <w:t xml:space="preserve">marking time </w:t>
      </w:r>
      <w:r w:rsidR="003B1467">
        <w:t xml:space="preserve">with retail sales in Australia </w:t>
      </w:r>
      <w:r w:rsidR="00497862">
        <w:t>ris</w:t>
      </w:r>
      <w:r w:rsidR="00074A1A">
        <w:t>ing</w:t>
      </w:r>
      <w:r w:rsidR="003B1467">
        <w:t xml:space="preserve"> by </w:t>
      </w:r>
      <w:r w:rsidR="00984AC0">
        <w:t>(</w:t>
      </w:r>
      <w:r w:rsidR="00497862">
        <w:t>+0.</w:t>
      </w:r>
      <w:r w:rsidR="00A001EA">
        <w:t>6</w:t>
      </w:r>
      <w:r w:rsidR="00074A1A">
        <w:t>%</w:t>
      </w:r>
      <w:r w:rsidR="00984AC0">
        <w:t>)</w:t>
      </w:r>
      <w:r w:rsidR="003B1467">
        <w:t xml:space="preserve"> in </w:t>
      </w:r>
      <w:r w:rsidR="00BA46D9">
        <w:t>May</w:t>
      </w:r>
      <w:r w:rsidR="003B1467">
        <w:t xml:space="preserve"> 2024 </w:t>
      </w:r>
      <w:r w:rsidR="00B04D6E">
        <w:t xml:space="preserve">which </w:t>
      </w:r>
      <w:r w:rsidR="00497862">
        <w:t>will</w:t>
      </w:r>
      <w:r w:rsidR="00B02125">
        <w:t xml:space="preserve"> </w:t>
      </w:r>
      <w:r w:rsidR="00074A1A">
        <w:t xml:space="preserve">impacting company profit expectations </w:t>
      </w:r>
      <w:r>
        <w:t>in the short-term</w:t>
      </w:r>
      <w:r w:rsidR="00984AC0">
        <w:t>.</w:t>
      </w:r>
      <w:r w:rsidR="00D74275">
        <w:t xml:space="preserve"> </w:t>
      </w:r>
    </w:p>
    <w:p w14:paraId="6B8750FC" w14:textId="67E58212" w:rsidR="007C64CC"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will prevail</w:t>
      </w:r>
      <w:r w:rsidR="007C64CC">
        <w:t xml:space="preserve">, now that the US Fed has </w:t>
      </w:r>
      <w:r w:rsidR="007C64CC" w:rsidRPr="007C64CC">
        <w:rPr>
          <w:b/>
          <w:bCs/>
        </w:rPr>
        <w:t>signalled a pivot for their interest rates</w:t>
      </w:r>
      <w:r w:rsidR="007C64CC">
        <w:t xml:space="preserve">, this is a strong indicator for </w:t>
      </w:r>
      <w:r w:rsidR="00296984">
        <w:t xml:space="preserve">interest rate </w:t>
      </w:r>
      <w:r w:rsidR="00F42D58">
        <w:t>expectations</w:t>
      </w:r>
      <w:r w:rsidR="007C64CC">
        <w:t xml:space="preserve"> and clear a path </w:t>
      </w:r>
      <w:r w:rsidR="000678F3">
        <w:t xml:space="preserve">going </w:t>
      </w:r>
      <w:r w:rsidR="007C64CC">
        <w:t>forward for investors.</w:t>
      </w:r>
    </w:p>
    <w:p w14:paraId="024D1376" w14:textId="17578F31" w:rsidR="00524F93" w:rsidRDefault="00524F93" w:rsidP="00524F93">
      <w:r w:rsidRPr="00524F93">
        <w:rPr>
          <w:b/>
          <w:bCs/>
        </w:rPr>
        <w:lastRenderedPageBreak/>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w:t>
      </w:r>
      <w:r w:rsidR="00A001EA">
        <w:t>March</w:t>
      </w:r>
      <w:r w:rsidR="007C64CC">
        <w:t xml:space="preserve"> 202</w:t>
      </w:r>
      <w:r w:rsidR="00984AC0">
        <w:t>5</w:t>
      </w:r>
      <w:r w:rsidR="007C64CC">
        <w:t>.</w:t>
      </w:r>
      <w:r>
        <w:t xml:space="preserve"> </w:t>
      </w:r>
    </w:p>
    <w:p w14:paraId="6F8EECA2" w14:textId="27BA5B14"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FA1935">
        <w:rPr>
          <w:b/>
          <w:bCs/>
        </w:rPr>
        <w:t>3</w:t>
      </w:r>
      <w:r w:rsidR="00A001EA">
        <w:rPr>
          <w:b/>
          <w:bCs/>
        </w:rPr>
        <w:t>0</w:t>
      </w:r>
      <w:r w:rsidR="00A001EA" w:rsidRPr="00A001EA">
        <w:rPr>
          <w:b/>
          <w:bCs/>
          <w:vertAlign w:val="superscript"/>
        </w:rPr>
        <w:t>th</w:t>
      </w:r>
      <w:r w:rsidR="00A001EA">
        <w:rPr>
          <w:b/>
          <w:bCs/>
        </w:rPr>
        <w:t xml:space="preserve"> June</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6A0D8148" w14:textId="29AA2F3D" w:rsidR="00B02125" w:rsidRDefault="007B239A" w:rsidP="009E7EF6">
      <w:pPr>
        <w:spacing w:before="120" w:after="120" w:line="240" w:lineRule="auto"/>
      </w:pPr>
      <w:r w:rsidRPr="00F90325">
        <w:t xml:space="preserve">Global </w:t>
      </w:r>
      <w:r w:rsidR="00F82AE9">
        <w:t xml:space="preserve">markets </w:t>
      </w:r>
      <w:r w:rsidR="00BE2D43">
        <w:t xml:space="preserve">bounced higher </w:t>
      </w:r>
      <w:r w:rsidR="00FA390E">
        <w:t xml:space="preserve">over </w:t>
      </w:r>
      <w:r w:rsidR="001B3379">
        <w:t>June</w:t>
      </w:r>
      <w:r w:rsidR="00FA390E">
        <w:t xml:space="preserve"> as </w:t>
      </w:r>
      <w:r w:rsidR="00200F95">
        <w:t xml:space="preserve">Central Banks </w:t>
      </w:r>
      <w:r w:rsidR="001B3379">
        <w:t xml:space="preserve">held their cash rates after several initiated easing programmes for </w:t>
      </w:r>
      <w:r w:rsidR="00200F95">
        <w:t>their target cash rates to encourage their economic growth prospects. D</w:t>
      </w:r>
      <w:r w:rsidR="00B02125">
        <w:t xml:space="preserve">ebt markets </w:t>
      </w:r>
      <w:r w:rsidR="00200F95">
        <w:t>rallied however, not strongly as they are cautious about the pace of future easing’s</w:t>
      </w:r>
      <w:r w:rsidR="00B02125">
        <w:t xml:space="preserve">. </w:t>
      </w:r>
    </w:p>
    <w:p w14:paraId="008F3DBF" w14:textId="52270DDD" w:rsidR="00C96DD8" w:rsidRDefault="00200F95" w:rsidP="009E7EF6">
      <w:pPr>
        <w:spacing w:before="120" w:after="120" w:line="240" w:lineRule="auto"/>
      </w:pPr>
      <w:r>
        <w:t xml:space="preserve">Global </w:t>
      </w:r>
      <w:r w:rsidR="00C96DD8">
        <w:t>I</w:t>
      </w:r>
      <w:r w:rsidR="00C96DD8" w:rsidRPr="00C96DD8">
        <w:t xml:space="preserve">nfrastructure companies </w:t>
      </w:r>
      <w:r w:rsidR="001B3379">
        <w:t>fell sharply despite their ability</w:t>
      </w:r>
      <w:r w:rsidR="00C96DD8" w:rsidRPr="00C96DD8">
        <w:t xml:space="preserve"> to retain margins compared to most general market equities, given that not only interest costs, but also other operating cost items, </w:t>
      </w:r>
      <w:r w:rsidR="00A3418C">
        <w:t xml:space="preserve">may be </w:t>
      </w:r>
      <w:r w:rsidR="00C96DD8" w:rsidRPr="00C96DD8">
        <w:t>considered “pass-through” within a regulatory construct</w:t>
      </w:r>
      <w:r w:rsidR="00C96DD8">
        <w:t xml:space="preserve"> so costs simply flow through to users</w:t>
      </w:r>
      <w:r w:rsidR="00C96DD8" w:rsidRPr="00C96DD8">
        <w:t>.</w:t>
      </w:r>
      <w:r w:rsidR="00C96DD8">
        <w:t xml:space="preserve"> </w:t>
      </w:r>
    </w:p>
    <w:p w14:paraId="4D1ADF38" w14:textId="07472D8F" w:rsidR="00BD000B"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rsidR="00816F91">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14CE6A8A" w14:textId="7B27ABF3" w:rsidR="00CC2CB7" w:rsidRDefault="00E52572" w:rsidP="00CC2CB7">
      <w:pPr>
        <w:spacing w:before="0" w:after="0"/>
      </w:pPr>
      <w:bookmarkStart w:id="2" w:name="_Hlk69241500"/>
      <w:r>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08740E">
        <w:t>on</w:t>
      </w:r>
      <w:r w:rsidR="00C50B00">
        <w:t xml:space="preserve"> the </w:t>
      </w:r>
      <w:r w:rsidR="00F7687B">
        <w:t>1</w:t>
      </w:r>
      <w:r w:rsidR="00200F95">
        <w:t>2</w:t>
      </w:r>
      <w:r w:rsidR="00200F95" w:rsidRPr="00200F95">
        <w:rPr>
          <w:vertAlign w:val="superscript"/>
        </w:rPr>
        <w:t>th</w:t>
      </w:r>
      <w:r w:rsidR="00200F95">
        <w:t xml:space="preserve"> </w:t>
      </w:r>
      <w:r w:rsidR="0054112A" w:rsidRPr="0054112A">
        <w:rPr>
          <w:vertAlign w:val="superscript"/>
        </w:rPr>
        <w:t>of</w:t>
      </w:r>
      <w:r w:rsidR="0054112A">
        <w:t xml:space="preserve"> </w:t>
      </w:r>
      <w:r w:rsidR="00200F95">
        <w:t>June</w:t>
      </w:r>
      <w:r w:rsidR="00A672C2">
        <w:t xml:space="preserve"> 2</w:t>
      </w:r>
      <w:r>
        <w:t>02</w:t>
      </w:r>
      <w:r w:rsidR="00FC10EC">
        <w:t>4</w:t>
      </w:r>
      <w:r>
        <w:t xml:space="preserve"> FOMC meeting</w:t>
      </w:r>
      <w:r w:rsidR="00CC2CB7">
        <w:t>:</w:t>
      </w:r>
    </w:p>
    <w:p w14:paraId="0D143164" w14:textId="34652413" w:rsidR="00A9793C" w:rsidRDefault="00CC2CB7" w:rsidP="00F7687B">
      <w:pPr>
        <w:spacing w:before="0" w:after="0"/>
        <w:ind w:left="720"/>
        <w:rPr>
          <w:i/>
          <w:iCs/>
        </w:rPr>
      </w:pPr>
      <w:r w:rsidRPr="00CC2CB7">
        <w:rPr>
          <w:i/>
          <w:iCs/>
        </w:rPr>
        <w:t>“</w:t>
      </w:r>
      <w:r w:rsidR="00A9793C" w:rsidRPr="00A9793C">
        <w:rPr>
          <w:i/>
          <w:iCs/>
        </w:rPr>
        <w:t>The Committee seeks to achieve maximum employment and inflation at the rate of 2 percent over the longer run. The Committee judges that the risks to achieving its employment and inflation goals have moved toward better balance over the past year. The economic outlook is uncertain, and the Committee remains highly attentive to inflation risks</w:t>
      </w:r>
      <w:r w:rsidR="006820B4">
        <w:rPr>
          <w:i/>
          <w:iCs/>
        </w:rPr>
        <w:t>.”</w:t>
      </w:r>
    </w:p>
    <w:p w14:paraId="059FCA8D" w14:textId="6D97304D" w:rsidR="00A9793C" w:rsidRDefault="00A9793C" w:rsidP="00F7687B">
      <w:pPr>
        <w:spacing w:before="0" w:after="0"/>
        <w:ind w:left="720"/>
        <w:rPr>
          <w:i/>
          <w:iCs/>
        </w:rPr>
      </w:pPr>
      <w:r w:rsidRPr="00A9793C">
        <w:rPr>
          <w:i/>
          <w:iCs/>
        </w:rPr>
        <w:t xml:space="preserve">(Source: Federal Reserve Press Release </w:t>
      </w:r>
      <w:r>
        <w:rPr>
          <w:i/>
          <w:iCs/>
        </w:rPr>
        <w:t>June</w:t>
      </w:r>
      <w:r w:rsidRPr="00A9793C">
        <w:rPr>
          <w:i/>
          <w:iCs/>
        </w:rPr>
        <w:t xml:space="preserve"> 1</w:t>
      </w:r>
      <w:r>
        <w:rPr>
          <w:i/>
          <w:iCs/>
        </w:rPr>
        <w:t>2</w:t>
      </w:r>
      <w:r w:rsidRPr="00A9793C">
        <w:rPr>
          <w:i/>
          <w:iCs/>
        </w:rPr>
        <w:t>, 2024).</w:t>
      </w:r>
    </w:p>
    <w:p w14:paraId="0F469910" w14:textId="77777777" w:rsidR="00A9793C" w:rsidRDefault="00A9793C" w:rsidP="00FC10EC">
      <w:pPr>
        <w:spacing w:before="0" w:after="0"/>
        <w:ind w:left="720"/>
        <w:rPr>
          <w:i/>
          <w:iCs/>
        </w:rPr>
      </w:pPr>
    </w:p>
    <w:p w14:paraId="0462C83D" w14:textId="45786ADD" w:rsidR="00A672C2" w:rsidRPr="00A9793C" w:rsidRDefault="00A9793C" w:rsidP="00FC10EC">
      <w:pPr>
        <w:spacing w:before="0" w:after="0"/>
        <w:ind w:left="720"/>
        <w:rPr>
          <w:rFonts w:ascii="Calibri" w:hAnsi="Calibri" w:cs="Calibri"/>
          <w:color w:val="222222"/>
          <w:sz w:val="24"/>
          <w:szCs w:val="24"/>
          <w:shd w:val="clear" w:color="auto" w:fill="FFFFFF"/>
        </w:rPr>
      </w:pPr>
      <w:r w:rsidRPr="00A9793C">
        <w:t>As mentioned in the May 2024  statement,</w:t>
      </w:r>
      <w:r w:rsidR="00F7687B" w:rsidRPr="00A9793C">
        <w:t xml:space="preserve"> the Committee will continue reducing its holdings of </w:t>
      </w:r>
      <w:r w:rsidR="00F7687B" w:rsidRPr="00A9793C">
        <w:rPr>
          <w:b/>
          <w:bCs/>
        </w:rPr>
        <w:t>Treasury securities and agency debt and agency mortgage</w:t>
      </w:r>
      <w:r w:rsidR="00F7687B" w:rsidRPr="00A9793C">
        <w:rPr>
          <w:rFonts w:ascii="Cambria Math" w:hAnsi="Cambria Math" w:cs="Cambria Math"/>
          <w:b/>
          <w:bCs/>
        </w:rPr>
        <w:t>‑</w:t>
      </w:r>
      <w:r w:rsidR="00F7687B" w:rsidRPr="00A9793C">
        <w:rPr>
          <w:b/>
          <w:bCs/>
        </w:rPr>
        <w:t>backed securities</w:t>
      </w:r>
      <w:r w:rsidR="00F7687B" w:rsidRPr="00A9793C">
        <w:t xml:space="preserve">. Beginning in June, the Committee will slow the pace of decline of its securities holdings by reducing the monthly redemption cap on Treasury securities from </w:t>
      </w:r>
      <w:r w:rsidR="00F7687B" w:rsidRPr="00A9793C">
        <w:rPr>
          <w:b/>
          <w:bCs/>
        </w:rPr>
        <w:t>$60 billion to $25 billion</w:t>
      </w:r>
      <w:r w:rsidR="00F7687B" w:rsidRPr="00A9793C">
        <w:t>. The Committee will maintain the monthly redemption cap on agency debt and agency mortgage</w:t>
      </w:r>
      <w:r w:rsidR="00F7687B" w:rsidRPr="00A9793C">
        <w:rPr>
          <w:rFonts w:ascii="Cambria Math" w:hAnsi="Cambria Math" w:cs="Cambria Math"/>
        </w:rPr>
        <w:t>‑</w:t>
      </w:r>
      <w:r w:rsidR="00F7687B" w:rsidRPr="00A9793C">
        <w:t xml:space="preserve">backed securities at </w:t>
      </w:r>
      <w:r w:rsidR="00F7687B" w:rsidRPr="00A9793C">
        <w:rPr>
          <w:b/>
          <w:bCs/>
        </w:rPr>
        <w:t xml:space="preserve">$35 billion and will reinvest any principal payments </w:t>
      </w:r>
      <w:r w:rsidR="00784097" w:rsidRPr="00A9793C">
        <w:rPr>
          <w:b/>
          <w:bCs/>
        </w:rPr>
        <w:t>more than</w:t>
      </w:r>
      <w:r w:rsidR="00F7687B" w:rsidRPr="00A9793C">
        <w:rPr>
          <w:b/>
          <w:bCs/>
        </w:rPr>
        <w:t xml:space="preserve"> this cap</w:t>
      </w:r>
      <w:r w:rsidR="00F7687B" w:rsidRPr="00A9793C">
        <w:t xml:space="preserve"> into Treasury securities. The Committee is strongly committed to returning inflation to its 2 percent objective.</w:t>
      </w:r>
      <w:r w:rsidRPr="00A9793C">
        <w:t xml:space="preserve"> </w:t>
      </w:r>
      <w:r w:rsidR="00CC2CB7" w:rsidRPr="00A9793C">
        <w:t xml:space="preserve">(Source: Federal Reserve Press Release </w:t>
      </w:r>
      <w:r w:rsidR="0054112A" w:rsidRPr="00A9793C">
        <w:t>Ma</w:t>
      </w:r>
      <w:r w:rsidR="00F7687B" w:rsidRPr="00A9793C">
        <w:t>y</w:t>
      </w:r>
      <w:r w:rsidR="00CC2CB7" w:rsidRPr="00A9793C">
        <w:t xml:space="preserve"> </w:t>
      </w:r>
      <w:r w:rsidR="00F7687B" w:rsidRPr="00A9793C">
        <w:t>1</w:t>
      </w:r>
      <w:r w:rsidR="00CC2CB7" w:rsidRPr="00A9793C">
        <w:t>, 202</w:t>
      </w:r>
      <w:r w:rsidR="00FC10EC" w:rsidRPr="00A9793C">
        <w:t>4</w:t>
      </w:r>
      <w:r w:rsidR="00CC2CB7" w:rsidRPr="00A9793C">
        <w:t>).</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38E6CE35" w14:textId="58FA554A" w:rsidR="00DF397C" w:rsidRDefault="00DF397C" w:rsidP="00257621">
      <w:pPr>
        <w:autoSpaceDE w:val="0"/>
        <w:autoSpaceDN w:val="0"/>
        <w:adjustRightInd w:val="0"/>
        <w:spacing w:after="0" w:line="240" w:lineRule="auto"/>
      </w:pPr>
      <w:r w:rsidRPr="00DF397C">
        <w:t xml:space="preserve">The much-anticipated Summary of Economic Projections (SEP) broadly met expectations with a higher inflation forecast for 2024 and less easing this year; The median FOMC member called </w:t>
      </w:r>
      <w:r w:rsidRPr="00DF397C">
        <w:rPr>
          <w:b/>
          <w:bCs/>
        </w:rPr>
        <w:t>for one 25 basis point cut by the end of this year and four 25 basis point cuts in 2025</w:t>
      </w:r>
      <w:r w:rsidRPr="00DF397C">
        <w:t>.</w:t>
      </w:r>
    </w:p>
    <w:bookmarkEnd w:id="2"/>
    <w:p w14:paraId="46234C0C" w14:textId="1B462699"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lastRenderedPageBreak/>
        <w:t xml:space="preserve">The next Fed meeting is scheduled for </w:t>
      </w:r>
      <w:r w:rsidR="00175A6F">
        <w:rPr>
          <w:rFonts w:cs="Calibri"/>
          <w:b/>
          <w:bCs/>
          <w:color w:val="222222"/>
          <w:sz w:val="24"/>
          <w:szCs w:val="24"/>
          <w:shd w:val="clear" w:color="auto" w:fill="FFFFFF"/>
        </w:rPr>
        <w:t>30</w:t>
      </w:r>
      <w:r w:rsidR="00D44598">
        <w:rPr>
          <w:rFonts w:cs="Calibri"/>
          <w:b/>
          <w:bCs/>
          <w:color w:val="222222"/>
          <w:sz w:val="24"/>
          <w:szCs w:val="24"/>
          <w:shd w:val="clear" w:color="auto" w:fill="FFFFFF"/>
        </w:rPr>
        <w:t>/</w:t>
      </w:r>
      <w:r w:rsidR="00175A6F">
        <w:rPr>
          <w:rFonts w:cs="Calibri"/>
          <w:b/>
          <w:bCs/>
          <w:color w:val="222222"/>
          <w:sz w:val="24"/>
          <w:szCs w:val="24"/>
          <w:shd w:val="clear" w:color="auto" w:fill="FFFFFF"/>
        </w:rPr>
        <w:t>31</w:t>
      </w:r>
      <w:r w:rsidR="00D44598">
        <w:rPr>
          <w:rFonts w:cs="Calibri"/>
          <w:b/>
          <w:bCs/>
          <w:color w:val="222222"/>
          <w:sz w:val="24"/>
          <w:szCs w:val="24"/>
          <w:shd w:val="clear" w:color="auto" w:fill="FFFFFF"/>
        </w:rPr>
        <w:t xml:space="preserve"> </w:t>
      </w:r>
      <w:r w:rsidR="00F7687B">
        <w:rPr>
          <w:rFonts w:cs="Calibri"/>
          <w:b/>
          <w:bCs/>
          <w:color w:val="222222"/>
          <w:sz w:val="24"/>
          <w:szCs w:val="24"/>
          <w:shd w:val="clear" w:color="auto" w:fill="FFFFFF"/>
        </w:rPr>
        <w:t>Ju</w:t>
      </w:r>
      <w:r w:rsidR="00175A6F">
        <w:rPr>
          <w:rFonts w:cs="Calibri"/>
          <w:b/>
          <w:bCs/>
          <w:color w:val="222222"/>
          <w:sz w:val="24"/>
          <w:szCs w:val="24"/>
          <w:shd w:val="clear" w:color="auto" w:fill="FFFFFF"/>
        </w:rPr>
        <w:t>ly</w:t>
      </w:r>
      <w:r w:rsidR="00D44598">
        <w:rPr>
          <w:rFonts w:cs="Calibri"/>
          <w:b/>
          <w:bCs/>
          <w:color w:val="222222"/>
          <w:sz w:val="24"/>
          <w:szCs w:val="24"/>
          <w:shd w:val="clear" w:color="auto" w:fill="FFFFFF"/>
        </w:rPr>
        <w:t xml:space="preserve"> 2024</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252B62">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0839B69F" w:rsidR="00C52E4A" w:rsidRDefault="00C52E4A" w:rsidP="00252B62">
      <w:pPr>
        <w:pStyle w:val="ListParagraph"/>
        <w:numPr>
          <w:ilvl w:val="0"/>
          <w:numId w:val="6"/>
        </w:numPr>
        <w:spacing w:before="0" w:after="0" w:line="276" w:lineRule="auto"/>
        <w:ind w:left="357" w:hanging="357"/>
      </w:pPr>
      <w:r w:rsidRPr="00C52E4A">
        <w:rPr>
          <w:b/>
          <w:bCs/>
        </w:rPr>
        <w:t xml:space="preserve">Company </w:t>
      </w:r>
      <w:r w:rsidR="00711DF0">
        <w:rPr>
          <w:b/>
          <w:bCs/>
        </w:rPr>
        <w:t xml:space="preserve">results </w:t>
      </w:r>
      <w:r w:rsidR="00711DF0" w:rsidRPr="00711DF0">
        <w:t xml:space="preserve">post </w:t>
      </w:r>
      <w:r w:rsidR="001B3379">
        <w:t>the end of the FY.</w:t>
      </w:r>
    </w:p>
    <w:p w14:paraId="78654FD1" w14:textId="73FF2CF2" w:rsidR="00C52E4A" w:rsidRDefault="00C52E4A" w:rsidP="00252B62">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elevated </w:t>
      </w:r>
      <w:r>
        <w:t xml:space="preserve">inflation </w:t>
      </w:r>
      <w:r w:rsidR="008261BB">
        <w:t>level</w:t>
      </w:r>
      <w:r>
        <w:t>.</w:t>
      </w:r>
    </w:p>
    <w:p w14:paraId="72D4FB61" w14:textId="203BC843" w:rsidR="00C52E4A" w:rsidRDefault="00C52E4A" w:rsidP="00252B62">
      <w:pPr>
        <w:pStyle w:val="ListParagraph"/>
        <w:numPr>
          <w:ilvl w:val="0"/>
          <w:numId w:val="6"/>
        </w:numPr>
        <w:spacing w:before="0" w:after="0" w:line="276" w:lineRule="auto"/>
        <w:ind w:left="357" w:hanging="357"/>
      </w:pPr>
      <w:r w:rsidRPr="00C52E4A">
        <w:rPr>
          <w:b/>
          <w:bCs/>
        </w:rPr>
        <w:t>Inflation</w:t>
      </w:r>
      <w:r>
        <w:t xml:space="preserve"> remains stubbornly high at </w:t>
      </w:r>
      <w:r w:rsidR="008261BB">
        <w:t>3.6</w:t>
      </w:r>
      <w:r>
        <w:t xml:space="preserve">% although easing from </w:t>
      </w:r>
      <w:r w:rsidR="009E18CB">
        <w:t>4</w:t>
      </w:r>
      <w:r w:rsidR="008261BB">
        <w:t>.1</w:t>
      </w:r>
      <w:r>
        <w:t xml:space="preserve">% in the </w:t>
      </w:r>
      <w:r w:rsidR="008261BB">
        <w:t>fourth</w:t>
      </w:r>
      <w:r>
        <w:t xml:space="preserve"> quarter of 2023 which although heading in the right direction, infers </w:t>
      </w:r>
      <w:r w:rsidRPr="00BF1CFC">
        <w:rPr>
          <w:b/>
          <w:bCs/>
        </w:rPr>
        <w:t>higher interest rates for longer</w:t>
      </w:r>
      <w:r>
        <w:t>.</w:t>
      </w:r>
    </w:p>
    <w:p w14:paraId="6E09E404" w14:textId="2D67BF94" w:rsidR="00711DF0" w:rsidRDefault="00220A49" w:rsidP="00252B62">
      <w:pPr>
        <w:pStyle w:val="ListParagraph"/>
        <w:numPr>
          <w:ilvl w:val="0"/>
          <w:numId w:val="6"/>
        </w:numPr>
        <w:spacing w:before="0" w:after="0" w:line="276" w:lineRule="auto"/>
        <w:ind w:left="357" w:hanging="357"/>
      </w:pPr>
      <w:r w:rsidRPr="00A87065">
        <w:rPr>
          <w:b/>
          <w:bCs/>
        </w:rPr>
        <w:t>China growth prospects</w:t>
      </w:r>
      <w:r>
        <w:t xml:space="preserve"> –</w:t>
      </w:r>
      <w:r w:rsidR="00A87065" w:rsidRPr="00A87065">
        <w:t xml:space="preserve"> The consensus forecast for Chinese growth next year is of about 4.5%. China’s policymakers might accept this as the new normal for the economy, just as they accepted the slowdown after 2012.</w:t>
      </w:r>
      <w:r w:rsidR="00A87065">
        <w:t xml:space="preserve"> </w:t>
      </w:r>
      <w:r w:rsidR="0005073D">
        <w:t>T</w:t>
      </w:r>
      <w:r w:rsidR="009E18CB">
        <w:t xml:space="preserve">he </w:t>
      </w:r>
      <w:r>
        <w:t xml:space="preserve">GDP </w:t>
      </w:r>
      <w:r w:rsidR="00301330">
        <w:t xml:space="preserve">annual </w:t>
      </w:r>
      <w:r>
        <w:t xml:space="preserve">growth rate </w:t>
      </w:r>
      <w:r w:rsidR="001B3379">
        <w:t>Y-O-Y eased to 4.7</w:t>
      </w:r>
      <w:r>
        <w:t xml:space="preserve">% </w:t>
      </w:r>
      <w:r w:rsidR="009C2C4E">
        <w:t xml:space="preserve">in </w:t>
      </w:r>
      <w:r w:rsidR="001B3379">
        <w:t>June</w:t>
      </w:r>
      <w:r w:rsidR="00617146">
        <w:t xml:space="preserve"> 202</w:t>
      </w:r>
      <w:r w:rsidR="008261BB">
        <w:t>4</w:t>
      </w:r>
      <w:r w:rsidR="00617146">
        <w:t xml:space="preserve"> </w:t>
      </w:r>
      <w:r w:rsidR="000F5F52">
        <w:t>down</w:t>
      </w:r>
      <w:r>
        <w:t xml:space="preserve"> from </w:t>
      </w:r>
      <w:r w:rsidR="008261BB">
        <w:t>5</w:t>
      </w:r>
      <w:r w:rsidR="009E18CB">
        <w:t>.</w:t>
      </w:r>
      <w:r w:rsidR="000F5F52">
        <w:t>3</w:t>
      </w:r>
      <w:r>
        <w:t>%</w:t>
      </w:r>
      <w:r w:rsidR="009C2C4E">
        <w:t xml:space="preserve"> previously.</w:t>
      </w:r>
      <w:r>
        <w:t xml:space="preserve"> </w:t>
      </w:r>
      <w:r w:rsidR="006820B4">
        <w:t>Let us</w:t>
      </w:r>
      <w:r w:rsidR="00A87065">
        <w:t xml:space="preserve"> hope the economy can </w:t>
      </w:r>
      <w:r w:rsidR="000F5F52">
        <w:t xml:space="preserve">recover quickly from </w:t>
      </w:r>
      <w:r w:rsidR="00A87065">
        <w:t>this level.</w:t>
      </w: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11A5EE8D" w:rsidR="00A16C57" w:rsidRDefault="000F5F52" w:rsidP="00A16C57">
      <w:pPr>
        <w:jc w:val="center"/>
      </w:pPr>
      <w:r w:rsidRPr="000F5F52">
        <w:rPr>
          <w:noProof/>
        </w:rPr>
        <w:drawing>
          <wp:inline distT="0" distB="0" distL="0" distR="0" wp14:anchorId="5B74E336" wp14:editId="2F6D5D6D">
            <wp:extent cx="4602480" cy="3672840"/>
            <wp:effectExtent l="0" t="0" r="0" b="0"/>
            <wp:docPr id="914457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2480" cy="3672840"/>
                    </a:xfrm>
                    <a:prstGeom prst="rect">
                      <a:avLst/>
                    </a:prstGeom>
                    <a:noFill/>
                    <a:ln>
                      <a:noFill/>
                    </a:ln>
                  </pic:spPr>
                </pic:pic>
              </a:graphicData>
            </a:graphic>
          </wp:inline>
        </w:drawing>
      </w:r>
    </w:p>
    <w:p w14:paraId="65003F17" w14:textId="2BD251CC"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3" w:name="_Hlk535352886"/>
      <w:r w:rsidR="00516171">
        <w:rPr>
          <w:sz w:val="18"/>
        </w:rPr>
        <w:t>3</w:t>
      </w:r>
      <w:r w:rsidR="000F5F52">
        <w:rPr>
          <w:sz w:val="18"/>
        </w:rPr>
        <w:t>0</w:t>
      </w:r>
      <w:r w:rsidR="000F5F52" w:rsidRPr="000F5F52">
        <w:rPr>
          <w:sz w:val="18"/>
          <w:vertAlign w:val="superscript"/>
        </w:rPr>
        <w:t>th</w:t>
      </w:r>
      <w:r w:rsidR="000F5F52">
        <w:rPr>
          <w:sz w:val="18"/>
        </w:rPr>
        <w:t xml:space="preserve"> June</w:t>
      </w:r>
      <w:r w:rsidR="00711DF0">
        <w:rPr>
          <w:sz w:val="18"/>
        </w:rPr>
        <w:t xml:space="preserve"> 2024</w:t>
      </w:r>
    </w:p>
    <w:bookmarkEnd w:id="3"/>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Global Share Returns</w:t>
      </w:r>
    </w:p>
    <w:p w14:paraId="206A9790" w14:textId="778D7B1B"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w:t>
      </w:r>
      <w:r w:rsidR="005738C3" w:rsidRPr="005738C3">
        <w:rPr>
          <w:b/>
          <w:bCs/>
        </w:rPr>
        <w:t xml:space="preserve">pace of </w:t>
      </w:r>
      <w:r w:rsidR="005738C3">
        <w:rPr>
          <w:b/>
          <w:bCs/>
        </w:rPr>
        <w:t xml:space="preserve">interest rate </w:t>
      </w:r>
      <w:r w:rsidR="005738C3" w:rsidRPr="005738C3">
        <w:rPr>
          <w:b/>
          <w:bCs/>
        </w:rPr>
        <w:t>easing</w:t>
      </w:r>
      <w:r w:rsidR="005738C3">
        <w:t xml:space="preserve"> for </w:t>
      </w:r>
      <w:r w:rsidR="003C5801" w:rsidRPr="003C5801">
        <w:t>Central Banks to</w:t>
      </w:r>
      <w:r w:rsidR="00C60EEF">
        <w:t xml:space="preserve"> look at </w:t>
      </w:r>
      <w:r w:rsidR="005738C3">
        <w:t>ov</w:t>
      </w:r>
      <w:r w:rsidR="00C60EEF">
        <w:t xml:space="preserve">er the longer </w:t>
      </w:r>
      <w:r w:rsidR="004273DE">
        <w:t>time</w:t>
      </w:r>
      <w:r w:rsidR="00C60EEF">
        <w:t xml:space="preserve"> </w:t>
      </w:r>
      <w:r w:rsidR="00937E69">
        <w:t xml:space="preserve">horizon </w:t>
      </w:r>
      <w:r w:rsidR="00C60EEF">
        <w:t xml:space="preserve">should inflation data continue to drift lower. </w:t>
      </w:r>
      <w:r w:rsidR="007343AC">
        <w:t>Unhedged g</w:t>
      </w:r>
      <w:r w:rsidR="00557108">
        <w:t xml:space="preserve">lobal shares </w:t>
      </w:r>
      <w:r w:rsidR="005738C3">
        <w:t>had returns reduced</w:t>
      </w:r>
      <w:r w:rsidR="0005073D">
        <w:t xml:space="preserve"> from a</w:t>
      </w:r>
      <w:r w:rsidR="005738C3">
        <w:t xml:space="preserve"> strengthening</w:t>
      </w:r>
      <w:r w:rsidR="004B2806">
        <w:t xml:space="preserve"> </w:t>
      </w:r>
      <w:r w:rsidR="00557108">
        <w:t>USD/AUD (0.</w:t>
      </w:r>
      <w:r w:rsidR="00F65F3F">
        <w:t>6</w:t>
      </w:r>
      <w:r w:rsidR="005738C3">
        <w:t>637 up</w:t>
      </w:r>
      <w:r w:rsidR="00557108">
        <w:t xml:space="preserve"> </w:t>
      </w:r>
      <w:r w:rsidR="007343AC">
        <w:t>from</w:t>
      </w:r>
      <w:r w:rsidR="00557108">
        <w:t xml:space="preserve"> 0.6</w:t>
      </w:r>
      <w:r w:rsidR="00711DF0">
        <w:t>5</w:t>
      </w:r>
      <w:r w:rsidR="005738C3">
        <w:t>25</w:t>
      </w:r>
      <w:r w:rsidR="00557108">
        <w:t xml:space="preserve">) which had </w:t>
      </w:r>
      <w:r w:rsidR="0083662A">
        <w:t>a</w:t>
      </w:r>
      <w:r w:rsidR="00557108">
        <w:t xml:space="preserve"> </w:t>
      </w:r>
      <w:r w:rsidR="005738C3">
        <w:t>nega</w:t>
      </w:r>
      <w:r w:rsidR="0005073D">
        <w:t>tive</w:t>
      </w:r>
      <w:r w:rsidR="00557108">
        <w:t xml:space="preserve"> impact of </w:t>
      </w:r>
      <w:r w:rsidR="00F65F3F">
        <w:t>(</w:t>
      </w:r>
      <w:r w:rsidR="005738C3">
        <w:t>-1.72</w:t>
      </w:r>
      <w:r w:rsidR="00F65F3F">
        <w:t xml:space="preserve">%) </w:t>
      </w:r>
      <w:r w:rsidR="0005073D">
        <w:t>i</w:t>
      </w:r>
      <w:r w:rsidR="00557108">
        <w:t xml:space="preserve">n </w:t>
      </w:r>
      <w:r w:rsidR="001D6939">
        <w:t xml:space="preserve">AUD </w:t>
      </w:r>
      <w:r w:rsidR="00557108">
        <w:t>returns over the month</w:t>
      </w:r>
      <w:r w:rsidR="00EB2B42">
        <w:t xml:space="preserve"> for unhedged investors</w:t>
      </w:r>
      <w:r w:rsidR="00557108">
        <w:t>.</w:t>
      </w:r>
      <w:r w:rsidR="007B7DEB">
        <w:t xml:space="preserve"> </w:t>
      </w:r>
    </w:p>
    <w:p w14:paraId="0685EDF3" w14:textId="07D815E3" w:rsidR="000F5F52" w:rsidRDefault="000F5F52" w:rsidP="008A4D67">
      <w:pPr>
        <w:spacing w:before="120"/>
      </w:pPr>
      <w:r>
        <w:t>Listed Global Infrastructure underperformed last month</w:t>
      </w:r>
      <w:r w:rsidR="00390D33">
        <w:t xml:space="preserve">. Traditionally this asset class is classified as a </w:t>
      </w:r>
      <w:r w:rsidR="00390D33" w:rsidRPr="00390D33">
        <w:rPr>
          <w:b/>
          <w:bCs/>
        </w:rPr>
        <w:t>Growth Alternative</w:t>
      </w:r>
      <w:r w:rsidR="00390D33">
        <w:t xml:space="preserve"> due to its l</w:t>
      </w:r>
      <w:r w:rsidRPr="000F5F52">
        <w:t>ow volatility of earnings, stable cash flows, higher relative income component to global equities, and attractive returns remains the key elements of the asset class.</w:t>
      </w:r>
    </w:p>
    <w:p w14:paraId="648D3E7C" w14:textId="433893EF" w:rsidR="008A4D67" w:rsidRDefault="00F65F3F" w:rsidP="008A4D67">
      <w:pPr>
        <w:spacing w:before="120"/>
      </w:pPr>
      <w:r>
        <w:t xml:space="preserve">The markets are </w:t>
      </w:r>
      <w:r w:rsidR="0005073D">
        <w:t>reacting to the latest interest rate moves</w:t>
      </w:r>
      <w:r w:rsidR="00390D33">
        <w:t xml:space="preserve"> which</w:t>
      </w:r>
      <w:r w:rsidR="0005073D">
        <w:t xml:space="preserve"> they are fundamentally </w:t>
      </w:r>
      <w:r w:rsidR="004B2806">
        <w:t>looking</w:t>
      </w:r>
      <w:r>
        <w:t xml:space="preserve"> to </w:t>
      </w:r>
      <w:r w:rsidR="00390D33">
        <w:t xml:space="preserve">see evidence of </w:t>
      </w:r>
      <w:r>
        <w:t>stabilis</w:t>
      </w:r>
      <w:r w:rsidR="00390D33">
        <w:t>ation</w:t>
      </w:r>
      <w:r>
        <w:t xml:space="preserve"> and regain a level of confidence.</w:t>
      </w:r>
      <w:r w:rsidR="003C5801">
        <w:t xml:space="preserve"> </w:t>
      </w:r>
      <w:r w:rsidR="004B7BB6">
        <w:t>Investors</w:t>
      </w:r>
      <w:r w:rsidR="001F41C6">
        <w:t xml:space="preserve"> </w:t>
      </w:r>
      <w:r w:rsidR="004273DE">
        <w:t xml:space="preserve">welcome the </w:t>
      </w:r>
      <w:r w:rsidR="00EF6467">
        <w:t>obvious signs</w:t>
      </w:r>
      <w:r w:rsidR="00B87F8B">
        <w:t xml:space="preserve"> that Central Banks </w:t>
      </w:r>
      <w:r w:rsidR="004273DE">
        <w:t>have</w:t>
      </w:r>
      <w:r w:rsidR="00B87F8B">
        <w:t xml:space="preserve"> “</w:t>
      </w:r>
      <w:r w:rsidR="003C5801" w:rsidRPr="00C27701">
        <w:rPr>
          <w:b/>
          <w:bCs/>
        </w:rPr>
        <w:t>pivot</w:t>
      </w:r>
      <w:r w:rsidR="004273DE">
        <w:rPr>
          <w:b/>
          <w:bCs/>
        </w:rPr>
        <w:t>ed</w:t>
      </w:r>
      <w:r w:rsidR="003C5801" w:rsidRPr="00C27701">
        <w:rPr>
          <w:b/>
          <w:bCs/>
        </w:rPr>
        <w:t>”</w:t>
      </w:r>
      <w:r w:rsidR="003C5801">
        <w:t xml:space="preserve"> </w:t>
      </w:r>
      <w:r>
        <w:t xml:space="preserve">now and </w:t>
      </w:r>
      <w:r w:rsidR="00C27701">
        <w:t xml:space="preserve">future </w:t>
      </w:r>
      <w:r w:rsidR="003C5801">
        <w:t xml:space="preserve">interest rates </w:t>
      </w:r>
      <w:r w:rsidR="00B87F8B">
        <w:t>moves are likely to be down not up which will underpin company valuations and support markets</w:t>
      </w:r>
      <w:r w:rsidR="0005073D">
        <w:t xml:space="preserve"> over the longer term</w:t>
      </w:r>
      <w:r w:rsidR="00B87F8B">
        <w:t>.</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402324D5" w:rsidR="00317447" w:rsidRDefault="00390D33" w:rsidP="00CC263B">
      <w:pPr>
        <w:jc w:val="center"/>
        <w:rPr>
          <w:sz w:val="18"/>
        </w:rPr>
      </w:pPr>
      <w:r w:rsidRPr="00390D33">
        <w:rPr>
          <w:noProof/>
          <w:sz w:val="18"/>
        </w:rPr>
        <w:drawing>
          <wp:inline distT="0" distB="0" distL="0" distR="0" wp14:anchorId="4EE7CCA7" wp14:editId="20C4FCCE">
            <wp:extent cx="4648835" cy="3281045"/>
            <wp:effectExtent l="0" t="0" r="0" b="0"/>
            <wp:docPr id="2010915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835" cy="3281045"/>
                    </a:xfrm>
                    <a:prstGeom prst="rect">
                      <a:avLst/>
                    </a:prstGeom>
                    <a:noFill/>
                    <a:ln>
                      <a:noFill/>
                    </a:ln>
                  </pic:spPr>
                </pic:pic>
              </a:graphicData>
            </a:graphic>
          </wp:inline>
        </w:drawing>
      </w:r>
    </w:p>
    <w:p w14:paraId="1D14B791" w14:textId="6BE69DAB" w:rsidR="00CC263B" w:rsidRPr="00BE778B" w:rsidRDefault="00CC263B" w:rsidP="00CC263B">
      <w:pPr>
        <w:jc w:val="center"/>
        <w:rPr>
          <w:sz w:val="18"/>
        </w:rPr>
      </w:pPr>
      <w:r w:rsidRPr="00A70A09">
        <w:rPr>
          <w:sz w:val="18"/>
        </w:rPr>
        <w:t>Source data: Lonsec as of</w:t>
      </w:r>
      <w:r>
        <w:rPr>
          <w:sz w:val="18"/>
        </w:rPr>
        <w:t xml:space="preserve"> </w:t>
      </w:r>
      <w:r w:rsidR="00B437CB">
        <w:rPr>
          <w:sz w:val="18"/>
        </w:rPr>
        <w:t>3</w:t>
      </w:r>
      <w:r w:rsidR="00390D33">
        <w:rPr>
          <w:sz w:val="18"/>
        </w:rPr>
        <w:t>0</w:t>
      </w:r>
      <w:r w:rsidR="00390D33" w:rsidRPr="00390D33">
        <w:rPr>
          <w:sz w:val="18"/>
          <w:vertAlign w:val="superscript"/>
        </w:rPr>
        <w:t>th</w:t>
      </w:r>
      <w:r w:rsidR="00390D33">
        <w:rPr>
          <w:sz w:val="18"/>
        </w:rPr>
        <w:t xml:space="preserve"> June</w:t>
      </w:r>
      <w:r>
        <w:rPr>
          <w:sz w:val="18"/>
        </w:rPr>
        <w:t xml:space="preserve"> 202</w:t>
      </w:r>
      <w:r w:rsidR="004C5B3F">
        <w:rPr>
          <w:sz w:val="18"/>
        </w:rPr>
        <w:t>4</w:t>
      </w:r>
    </w:p>
    <w:p w14:paraId="114DA578" w14:textId="1ED639F1"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5738C3">
        <w:t>+</w:t>
      </w:r>
      <w:r w:rsidR="00390D33">
        <w:t>1.64</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390D33">
        <w:t>+3.15</w:t>
      </w:r>
      <w:r w:rsidR="009E7EF6">
        <w:t>%)</w:t>
      </w:r>
      <w:r w:rsidR="00E51A06">
        <w:t xml:space="preserve">, </w:t>
      </w:r>
      <w:r w:rsidR="009E7EF6">
        <w:t>Asia ex Japan (</w:t>
      </w:r>
      <w:r w:rsidR="003F4C03">
        <w:t>+3.49</w:t>
      </w:r>
      <w:r w:rsidR="009E7EF6">
        <w:t>%)</w:t>
      </w:r>
      <w:r w:rsidR="00E51A06">
        <w:t>,</w:t>
      </w:r>
      <w:r w:rsidR="009E7EF6">
        <w:t xml:space="preserve"> Japan (</w:t>
      </w:r>
      <w:r w:rsidR="00937E69">
        <w:t>-1</w:t>
      </w:r>
      <w:r w:rsidR="005738C3">
        <w:t>.</w:t>
      </w:r>
      <w:r w:rsidR="003F4C03">
        <w:t>11</w:t>
      </w:r>
      <w:r w:rsidR="009E7EF6">
        <w:t>%)</w:t>
      </w:r>
      <w:r w:rsidR="00E51A06">
        <w:t>,</w:t>
      </w:r>
      <w:r w:rsidR="009E7EF6">
        <w:t xml:space="preserve"> the UK (</w:t>
      </w:r>
      <w:r w:rsidR="00937E69">
        <w:t>+</w:t>
      </w:r>
      <w:r w:rsidR="003F4C03">
        <w:t>2.16</w:t>
      </w:r>
      <w:r w:rsidR="009E7EF6">
        <w:t>%)</w:t>
      </w:r>
      <w:r w:rsidR="00E51A06">
        <w:t>,</w:t>
      </w:r>
      <w:r w:rsidR="009E7EF6">
        <w:t xml:space="preserve"> Europe</w:t>
      </w:r>
      <w:r w:rsidR="00776C10">
        <w:t xml:space="preserve"> </w:t>
      </w:r>
      <w:r w:rsidR="00E51A06">
        <w:t>(</w:t>
      </w:r>
      <w:r w:rsidR="003F4C03">
        <w:t>-2.63</w:t>
      </w:r>
      <w:r w:rsidR="005909DA">
        <w:t>%</w:t>
      </w:r>
      <w:r w:rsidR="00E51A06">
        <w:t xml:space="preserve">) </w:t>
      </w:r>
      <w:r w:rsidR="00776C10">
        <w:t>and</w:t>
      </w:r>
      <w:r w:rsidR="009E7EF6">
        <w:t xml:space="preserve"> </w:t>
      </w:r>
      <w:r w:rsidR="00776C10">
        <w:t>the Emerging Markets</w:t>
      </w:r>
      <w:r w:rsidR="00E51A06">
        <w:t xml:space="preserve"> (</w:t>
      </w:r>
      <w:r w:rsidR="003F4C03">
        <w:t>+3.57</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lastRenderedPageBreak/>
        <w:t>Australian Shares</w:t>
      </w:r>
    </w:p>
    <w:p w14:paraId="6D122B4F" w14:textId="53D9AD97" w:rsidR="00D96147" w:rsidRDefault="00802B2D" w:rsidP="00080677">
      <w:r>
        <w:t xml:space="preserve">Australian </w:t>
      </w:r>
      <w:r w:rsidR="00D019FE">
        <w:t xml:space="preserve">shares </w:t>
      </w:r>
      <w:r w:rsidR="00317447">
        <w:t xml:space="preserve">posted </w:t>
      </w:r>
      <w:r w:rsidR="005738C3">
        <w:t>posi</w:t>
      </w:r>
      <w:r w:rsidR="00937E69">
        <w:t>t</w:t>
      </w:r>
      <w:r w:rsidR="00D87293">
        <w:t>ive</w:t>
      </w:r>
      <w:r w:rsidR="009D2BC7">
        <w:t xml:space="preserve"> returns </w:t>
      </w:r>
      <w:r w:rsidR="005738C3">
        <w:t xml:space="preserve">however, impacted by </w:t>
      </w:r>
      <w:r w:rsidR="00937E69">
        <w:t>soft</w:t>
      </w:r>
      <w:r w:rsidR="00D87293">
        <w:t xml:space="preserve"> </w:t>
      </w:r>
      <w:r w:rsidR="001C431B">
        <w:t xml:space="preserve">commodity prices and slowing </w:t>
      </w:r>
      <w:r w:rsidR="00D87293">
        <w:t>economic conditions</w:t>
      </w:r>
      <w:r w:rsidR="009D2BC7">
        <w:t xml:space="preserve">. </w:t>
      </w:r>
      <w:r w:rsidR="009D26B6">
        <w:t>Sh</w:t>
      </w:r>
      <w:r w:rsidR="00965252">
        <w:t xml:space="preserve">ares </w:t>
      </w:r>
      <w:r w:rsidR="00EF6467">
        <w:t>finished</w:t>
      </w:r>
      <w:r w:rsidR="009D26B6">
        <w:t xml:space="preserve"> </w:t>
      </w:r>
      <w:r w:rsidR="000E3566">
        <w:t>(</w:t>
      </w:r>
      <w:r w:rsidR="005738C3">
        <w:t>+</w:t>
      </w:r>
      <w:r w:rsidR="003F4C03">
        <w:t>1.01</w:t>
      </w:r>
      <w:r w:rsidR="000E3566">
        <w:t>%) for the month</w:t>
      </w:r>
      <w:r w:rsidR="0089710F">
        <w:t xml:space="preserve"> and (</w:t>
      </w:r>
      <w:r w:rsidR="003F4C03">
        <w:t>-</w:t>
      </w:r>
      <w:r w:rsidR="00937E69">
        <w:t>1.</w:t>
      </w:r>
      <w:r w:rsidR="003F4C03">
        <w:t>0</w:t>
      </w:r>
      <w:r w:rsidR="005738C3">
        <w:t>6</w:t>
      </w:r>
      <w:r w:rsidR="0089710F">
        <w:t>%) over the last three months</w:t>
      </w:r>
      <w:r w:rsidR="00992554">
        <w:t>.</w:t>
      </w:r>
      <w:r w:rsidR="000E3566">
        <w:t xml:space="preserve"> </w:t>
      </w:r>
      <w:r w:rsidR="00992554">
        <w:t>The focus for investors was</w:t>
      </w:r>
      <w:r w:rsidR="00F02508">
        <w:t>:</w:t>
      </w:r>
    </w:p>
    <w:p w14:paraId="717593C6" w14:textId="77777777" w:rsidR="009D2BC7" w:rsidRPr="009D2BC7" w:rsidRDefault="009D2BC7" w:rsidP="00252B62">
      <w:pPr>
        <w:pStyle w:val="ListParagraph"/>
        <w:numPr>
          <w:ilvl w:val="0"/>
          <w:numId w:val="7"/>
        </w:numPr>
      </w:pPr>
      <w:r w:rsidRPr="009D2BC7">
        <w:rPr>
          <w:b/>
          <w:bCs/>
        </w:rPr>
        <w:t>Cost of living expenses</w:t>
      </w:r>
      <w:r w:rsidRPr="009D2BC7">
        <w:t xml:space="preserve"> and the impact on consumer spending.</w:t>
      </w:r>
    </w:p>
    <w:p w14:paraId="46B2FCA7" w14:textId="2D8A7509" w:rsidR="009D2BC7" w:rsidRPr="009D2BC7" w:rsidRDefault="009D2BC7" w:rsidP="00252B62">
      <w:pPr>
        <w:pStyle w:val="ListParagraph"/>
        <w:numPr>
          <w:ilvl w:val="0"/>
          <w:numId w:val="7"/>
        </w:numPr>
      </w:pPr>
      <w:r w:rsidRPr="009D2BC7">
        <w:rPr>
          <w:b/>
          <w:bCs/>
        </w:rPr>
        <w:t>Company profits</w:t>
      </w:r>
      <w:r w:rsidRPr="009D2BC7">
        <w:t xml:space="preserve"> </w:t>
      </w:r>
      <w:r w:rsidR="001F41D2">
        <w:t>and forward earnings guidance</w:t>
      </w:r>
      <w:r w:rsidRPr="009D2BC7">
        <w:t>.</w:t>
      </w:r>
    </w:p>
    <w:p w14:paraId="5BBF831F" w14:textId="613959A3" w:rsidR="009D26B6" w:rsidRPr="009D2BC7" w:rsidRDefault="009D26B6" w:rsidP="00252B62">
      <w:pPr>
        <w:pStyle w:val="ListParagraph"/>
        <w:numPr>
          <w:ilvl w:val="0"/>
          <w:numId w:val="7"/>
        </w:numPr>
      </w:pPr>
      <w:r w:rsidRPr="009D2BC7">
        <w:rPr>
          <w:b/>
          <w:bCs/>
        </w:rPr>
        <w:t>Consumer confidence</w:t>
      </w:r>
      <w:r w:rsidRPr="009D2BC7">
        <w:t xml:space="preserve"> post the interest rate increases.</w:t>
      </w:r>
    </w:p>
    <w:p w14:paraId="17FE682E" w14:textId="64819F0C" w:rsidR="00EE74FA" w:rsidRDefault="00EE74FA" w:rsidP="00252B62">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252B62">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46420831" w:rsidR="009E7EF6" w:rsidRDefault="0089710F" w:rsidP="009E7EF6">
      <w:r>
        <w:t>C</w:t>
      </w:r>
      <w:r w:rsidR="00E05A34">
        <w:t>om</w:t>
      </w:r>
      <w:r w:rsidR="009E7EF6" w:rsidRPr="00F90325">
        <w:t xml:space="preserve">modity markets </w:t>
      </w:r>
      <w:r w:rsidR="00457450">
        <w:t>ended</w:t>
      </w:r>
      <w:r w:rsidR="00E32E30">
        <w:t xml:space="preserve"> </w:t>
      </w:r>
      <w:r w:rsidR="001C431B">
        <w:t>lower</w:t>
      </w:r>
      <w:r w:rsidR="00FC5F13">
        <w:t xml:space="preserve"> </w:t>
      </w:r>
      <w:r w:rsidR="0056303E">
        <w:t xml:space="preserve">with </w:t>
      </w:r>
      <w:r w:rsidR="009E7EF6" w:rsidRPr="00F90325">
        <w:t>Iron Ore clos</w:t>
      </w:r>
      <w:r w:rsidR="00040E36">
        <w:t>ing</w:t>
      </w:r>
      <w:r w:rsidR="009E7EF6" w:rsidRPr="00F90325">
        <w:t xml:space="preserve"> at US$</w:t>
      </w:r>
      <w:r w:rsidR="00C81C0C">
        <w:t>1</w:t>
      </w:r>
      <w:r w:rsidR="003F4C03">
        <w:t>06</w:t>
      </w:r>
      <w:r w:rsidR="00B437CB">
        <w:t>.</w:t>
      </w:r>
      <w:r w:rsidR="00F564DE">
        <w:t>5</w:t>
      </w:r>
      <w:r w:rsidR="003F4C03">
        <w:t>1</w:t>
      </w:r>
      <w:r w:rsidR="009E7EF6" w:rsidRPr="00F90325">
        <w:t xml:space="preserve"> </w:t>
      </w:r>
      <w:r w:rsidR="006D3802">
        <w:t xml:space="preserve">per tonne </w:t>
      </w:r>
      <w:r w:rsidR="00910A84">
        <w:t xml:space="preserve">at the end of </w:t>
      </w:r>
      <w:r w:rsidR="003F4C03">
        <w:t>June</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3F4C03">
        <w:t>loss</w:t>
      </w:r>
      <w:r w:rsidR="008F7018">
        <w:t xml:space="preserve"> </w:t>
      </w:r>
      <w:r w:rsidR="00A85A05" w:rsidRPr="00F90325">
        <w:t>of (</w:t>
      </w:r>
      <w:r w:rsidR="003F4C03">
        <w:t>-9.37</w:t>
      </w:r>
      <w:r w:rsidR="00A85A05" w:rsidRPr="00F90325">
        <w:t xml:space="preserve">%) </w:t>
      </w:r>
      <w:r w:rsidR="00FC5F13">
        <w:t xml:space="preserve">and </w:t>
      </w:r>
      <w:r w:rsidR="001F41D2">
        <w:t>losses</w:t>
      </w:r>
      <w:r w:rsidR="00C44EA9">
        <w:t xml:space="preserve"> of </w:t>
      </w:r>
      <w:r w:rsidR="009E7EF6" w:rsidRPr="00F90325">
        <w:t>(</w:t>
      </w:r>
      <w:r w:rsidR="001F41D2">
        <w:t>-</w:t>
      </w:r>
      <w:r w:rsidR="003F4C03">
        <w:t>2.76</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3F4C03">
        <w:t>higher</w:t>
      </w:r>
      <w:r w:rsidR="008F7018" w:rsidRPr="00F90325">
        <w:t xml:space="preserve"> at US$</w:t>
      </w:r>
      <w:r w:rsidR="003F4C03">
        <w:t>81.54</w:t>
      </w:r>
      <w:r w:rsidR="008F7018" w:rsidRPr="00F90325">
        <w:t xml:space="preserve"> </w:t>
      </w:r>
      <w:r w:rsidR="008F7018">
        <w:t xml:space="preserve">a barrel </w:t>
      </w:r>
      <w:r w:rsidR="008F7018" w:rsidRPr="00F90325">
        <w:t>at the end o</w:t>
      </w:r>
      <w:r w:rsidR="008F7018">
        <w:t>f</w:t>
      </w:r>
      <w:r w:rsidR="008F7018" w:rsidRPr="00F90325">
        <w:t xml:space="preserve"> </w:t>
      </w:r>
      <w:r w:rsidR="003F4C03">
        <w:t>June</w:t>
      </w:r>
      <w:r w:rsidR="00AA627D">
        <w:t xml:space="preserve"> 202</w:t>
      </w:r>
      <w:r w:rsidR="006C68B8">
        <w:t>4</w:t>
      </w:r>
      <w:r w:rsidR="008F7018" w:rsidRPr="00F90325">
        <w:t xml:space="preserve"> </w:t>
      </w:r>
      <w:r w:rsidR="008F7018">
        <w:t>resulting in</w:t>
      </w:r>
      <w:r w:rsidR="008F7018" w:rsidRPr="00F90325">
        <w:t xml:space="preserve"> </w:t>
      </w:r>
      <w:r w:rsidR="006C68B8">
        <w:t xml:space="preserve">a </w:t>
      </w:r>
      <w:r w:rsidR="003F4C03">
        <w:t>gain</w:t>
      </w:r>
      <w:r w:rsidR="006C68B8">
        <w:t xml:space="preserve"> of</w:t>
      </w:r>
      <w:r w:rsidR="008F7018" w:rsidRPr="00F90325">
        <w:t xml:space="preserve"> (</w:t>
      </w:r>
      <w:r w:rsidR="003F4C03">
        <w:t>+5.91</w:t>
      </w:r>
      <w:r w:rsidR="00E77097">
        <w:t>%</w:t>
      </w:r>
      <w:r w:rsidR="008F7018" w:rsidRPr="00F90325">
        <w:t xml:space="preserve">) for the month </w:t>
      </w:r>
      <w:r w:rsidR="00107972">
        <w:t xml:space="preserve">and </w:t>
      </w:r>
      <w:r w:rsidR="001F41D2">
        <w:t>up</w:t>
      </w:r>
      <w:r w:rsidR="00F93701">
        <w:t xml:space="preserve"> </w:t>
      </w:r>
      <w:r w:rsidR="008F7018" w:rsidRPr="00F90325">
        <w:t>(</w:t>
      </w:r>
      <w:r w:rsidR="00F564DE">
        <w:t>-1.</w:t>
      </w:r>
      <w:r w:rsidR="003F4C03">
        <w:t>96</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684213D6"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453990">
        <w:t>May</w:t>
      </w:r>
      <w:r w:rsidR="00AA627D">
        <w:t xml:space="preserve"> 202</w:t>
      </w:r>
      <w:r w:rsidR="00053887">
        <w:t>4</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7E5DA59C" w:rsidR="005D2435" w:rsidRDefault="003F4C03" w:rsidP="003E7BC7">
      <w:pPr>
        <w:spacing w:before="120" w:after="120"/>
        <w:jc w:val="center"/>
        <w:rPr>
          <w:sz w:val="18"/>
        </w:rPr>
      </w:pPr>
      <w:r w:rsidRPr="003F4C03">
        <w:rPr>
          <w:noProof/>
          <w:sz w:val="18"/>
        </w:rPr>
        <w:drawing>
          <wp:inline distT="0" distB="0" distL="0" distR="0" wp14:anchorId="3352B72C" wp14:editId="5A029D8B">
            <wp:extent cx="3657600" cy="3286582"/>
            <wp:effectExtent l="0" t="0" r="0" b="0"/>
            <wp:docPr id="21221513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9297" cy="3288107"/>
                    </a:xfrm>
                    <a:prstGeom prst="rect">
                      <a:avLst/>
                    </a:prstGeom>
                    <a:noFill/>
                    <a:ln>
                      <a:noFill/>
                    </a:ln>
                  </pic:spPr>
                </pic:pic>
              </a:graphicData>
            </a:graphic>
          </wp:inline>
        </w:drawing>
      </w:r>
    </w:p>
    <w:p w14:paraId="5D5D2263" w14:textId="5553A11F"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76238E">
        <w:rPr>
          <w:sz w:val="18"/>
        </w:rPr>
        <w:t>3</w:t>
      </w:r>
      <w:r w:rsidR="003F4C03">
        <w:rPr>
          <w:sz w:val="18"/>
        </w:rPr>
        <w:t>0</w:t>
      </w:r>
      <w:r w:rsidR="003F4C03" w:rsidRPr="003F4C03">
        <w:rPr>
          <w:sz w:val="18"/>
          <w:vertAlign w:val="superscript"/>
        </w:rPr>
        <w:t>th</w:t>
      </w:r>
      <w:r w:rsidR="003F4C03">
        <w:rPr>
          <w:sz w:val="18"/>
        </w:rPr>
        <w:t xml:space="preserve"> June</w:t>
      </w:r>
      <w:r w:rsidR="00CC7292">
        <w:rPr>
          <w:sz w:val="18"/>
        </w:rPr>
        <w:t xml:space="preserve"> </w:t>
      </w:r>
      <w:r w:rsidR="00AA627D">
        <w:rPr>
          <w:sz w:val="18"/>
        </w:rPr>
        <w:t>202</w:t>
      </w:r>
      <w:r w:rsidR="006C68B8">
        <w:rPr>
          <w:sz w:val="18"/>
        </w:rPr>
        <w:t>4</w:t>
      </w:r>
    </w:p>
    <w:p w14:paraId="58FD09A7" w14:textId="76B6EC89" w:rsidR="009E7EF6" w:rsidRDefault="009E7EF6" w:rsidP="009E7EF6">
      <w:pPr>
        <w:spacing w:before="120" w:after="120"/>
      </w:pPr>
      <w:r>
        <w:lastRenderedPageBreak/>
        <w:t xml:space="preserve">Over the last month, </w:t>
      </w:r>
      <w:r w:rsidR="003F4C03">
        <w:t>Financials – ex A-REITS</w:t>
      </w:r>
      <w:r w:rsidR="004C3C46">
        <w:t xml:space="preserve"> </w:t>
      </w:r>
      <w:r w:rsidR="00B34A65">
        <w:t>w</w:t>
      </w:r>
      <w:r w:rsidR="00C02439">
        <w:t>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453990">
        <w:t>5.</w:t>
      </w:r>
      <w:r w:rsidR="003F4C03">
        <w:t>07</w:t>
      </w:r>
      <w:r>
        <w:t>%)</w:t>
      </w:r>
      <w:r w:rsidR="00757323">
        <w:t>.</w:t>
      </w:r>
    </w:p>
    <w:p w14:paraId="1BD9D657" w14:textId="79C52397" w:rsidR="00BF751B" w:rsidRDefault="003F4C03" w:rsidP="00BF751B">
      <w:pPr>
        <w:spacing w:before="120" w:after="120"/>
      </w:pPr>
      <w:r>
        <w:t>Materials</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53887">
        <w:t>-</w:t>
      </w:r>
      <w:r>
        <w:t>6.49</w:t>
      </w:r>
      <w:r w:rsidR="00BF751B">
        <w:t>%</w:t>
      </w:r>
      <w:r w:rsidR="004A252E">
        <w:t>)</w:t>
      </w:r>
      <w:r w:rsidR="00EE6DB0">
        <w:t xml:space="preserve"> for the month</w:t>
      </w:r>
      <w:r w:rsidR="00EF3062">
        <w:t xml:space="preserve">. </w:t>
      </w:r>
    </w:p>
    <w:p w14:paraId="6051FE95" w14:textId="5780CDF3" w:rsidR="006C68B8" w:rsidRDefault="003F4C03" w:rsidP="001F41D2">
      <w:pPr>
        <w:spacing w:before="120" w:after="120"/>
        <w:jc w:val="center"/>
      </w:pPr>
      <w:r w:rsidRPr="003F4C03">
        <w:rPr>
          <w:noProof/>
        </w:rPr>
        <w:drawing>
          <wp:inline distT="0" distB="0" distL="0" distR="0" wp14:anchorId="3C9D9BCB" wp14:editId="6397F437">
            <wp:extent cx="4218305" cy="2612390"/>
            <wp:effectExtent l="0" t="0" r="0" b="0"/>
            <wp:docPr id="12462621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8305" cy="2612390"/>
                    </a:xfrm>
                    <a:prstGeom prst="rect">
                      <a:avLst/>
                    </a:prstGeom>
                    <a:noFill/>
                    <a:ln>
                      <a:noFill/>
                    </a:ln>
                  </pic:spPr>
                </pic:pic>
              </a:graphicData>
            </a:graphic>
          </wp:inline>
        </w:drawing>
      </w:r>
    </w:p>
    <w:p w14:paraId="7EE381D5" w14:textId="5D6CFDA5"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E67B5F">
        <w:rPr>
          <w:sz w:val="18"/>
        </w:rPr>
        <w:t>3</w:t>
      </w:r>
      <w:r w:rsidR="003F4C03">
        <w:rPr>
          <w:sz w:val="18"/>
        </w:rPr>
        <w:t>0</w:t>
      </w:r>
      <w:r w:rsidR="003F4C03" w:rsidRPr="003F4C03">
        <w:rPr>
          <w:sz w:val="18"/>
          <w:vertAlign w:val="superscript"/>
        </w:rPr>
        <w:t>th</w:t>
      </w:r>
      <w:r w:rsidR="003F4C03">
        <w:rPr>
          <w:sz w:val="18"/>
        </w:rPr>
        <w:t xml:space="preserve"> June</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3CE6AE13" w:rsidR="00585652" w:rsidRDefault="009E7EF6" w:rsidP="009E7EF6">
      <w:pPr>
        <w:spacing w:before="120" w:after="120"/>
      </w:pPr>
      <w:r>
        <w:t xml:space="preserve">Bonds and Fixed Interest markets </w:t>
      </w:r>
      <w:r w:rsidR="00F43A7D">
        <w:t>finished</w:t>
      </w:r>
      <w:r w:rsidR="00C175CC">
        <w:t xml:space="preserve"> </w:t>
      </w:r>
      <w:r w:rsidR="001846E3">
        <w:t xml:space="preserve">in </w:t>
      </w:r>
      <w:r w:rsidR="00ED2653">
        <w:t>positive</w:t>
      </w:r>
      <w:r w:rsidR="001846E3">
        <w:t xml:space="preserve"> territory </w:t>
      </w:r>
      <w:r w:rsidR="00A52972">
        <w:t xml:space="preserve">as </w:t>
      </w:r>
      <w:r w:rsidR="008E3CF5">
        <w:t xml:space="preserve">global bond </w:t>
      </w:r>
      <w:r w:rsidR="00C175CC">
        <w:t>pr</w:t>
      </w:r>
      <w:r w:rsidR="002710BC">
        <w:t>ice</w:t>
      </w:r>
      <w:r w:rsidR="00A52972">
        <w:t xml:space="preserve">s </w:t>
      </w:r>
      <w:r w:rsidR="00680BB2">
        <w:t xml:space="preserve">pushed </w:t>
      </w:r>
      <w:r w:rsidR="00ED2653">
        <w:t>higher</w:t>
      </w:r>
      <w:r w:rsidR="002710BC">
        <w:t xml:space="preserve"> (</w:t>
      </w:r>
      <w:r w:rsidR="00ED2653">
        <w:t>down</w:t>
      </w:r>
      <w:r w:rsidR="00E54896">
        <w:t xml:space="preserve"> </w:t>
      </w:r>
      <w:r w:rsidR="003C26EF">
        <w:t xml:space="preserve">in </w:t>
      </w:r>
      <w:r w:rsidR="002710BC">
        <w:t xml:space="preserve">yield) </w:t>
      </w:r>
      <w:r w:rsidR="00446119">
        <w:t xml:space="preserve">following on the trend established last month when </w:t>
      </w:r>
      <w:r w:rsidR="006820B4">
        <w:t>several</w:t>
      </w:r>
      <w:r w:rsidR="00ED2653">
        <w:t xml:space="preserve"> </w:t>
      </w:r>
      <w:r w:rsidR="009C7E09">
        <w:t>C</w:t>
      </w:r>
      <w:r w:rsidR="00A52972">
        <w:t xml:space="preserve">entral </w:t>
      </w:r>
      <w:r w:rsidR="009C7E09">
        <w:t>B</w:t>
      </w:r>
      <w:r w:rsidR="00A52972">
        <w:t>ank</w:t>
      </w:r>
      <w:r w:rsidR="00ED2653">
        <w:t xml:space="preserve">s </w:t>
      </w:r>
      <w:r w:rsidR="00343D9A">
        <w:t>began to ease their target cash rates. I</w:t>
      </w:r>
      <w:r w:rsidR="00C02439">
        <w:t xml:space="preserve">nvestors </w:t>
      </w:r>
      <w:r w:rsidR="00343D9A">
        <w:t xml:space="preserve">were encouraged by this trend but not all economies are experiencing inflation falls and remain focussed on the </w:t>
      </w:r>
      <w:r w:rsidR="00C02439">
        <w:t>longer-term</w:t>
      </w:r>
      <w:r w:rsidR="006820B4">
        <w:t xml:space="preserve"> </w:t>
      </w:r>
      <w:r w:rsidR="00C02439">
        <w:t xml:space="preserve">for </w:t>
      </w:r>
      <w:r w:rsidR="00343D9A">
        <w:t xml:space="preserve">both inflation and </w:t>
      </w:r>
      <w:r w:rsidR="00C02439">
        <w:t xml:space="preserve">cash rates to come down. </w:t>
      </w:r>
      <w:r w:rsidR="00A02F18">
        <w:t xml:space="preserve">More recently, bonds have been sold off </w:t>
      </w:r>
      <w:r w:rsidR="00712A94">
        <w:t xml:space="preserve">In </w:t>
      </w:r>
      <w:r w:rsidR="00EF3062">
        <w:t>Australia</w:t>
      </w:r>
      <w:r w:rsidR="00A02F18">
        <w:t xml:space="preserve"> with</w:t>
      </w:r>
      <w:r w:rsidR="00712A94">
        <w:t xml:space="preserve"> t</w:t>
      </w:r>
      <w:r w:rsidR="001C4340">
        <w:t xml:space="preserve">he </w:t>
      </w:r>
      <w:r w:rsidR="00585652">
        <w:t>short-</w:t>
      </w:r>
      <w:proofErr w:type="gramStart"/>
      <w:r w:rsidR="00585652">
        <w:t>dated</w:t>
      </w:r>
      <w:r w:rsidR="001C4340">
        <w:t xml:space="preserve"> </w:t>
      </w:r>
      <w:r w:rsidR="0022166E">
        <w:t xml:space="preserve"> </w:t>
      </w:r>
      <w:r w:rsidR="00A52972">
        <w:t>2</w:t>
      </w:r>
      <w:proofErr w:type="gramEnd"/>
      <w:r w:rsidR="008D78CF">
        <w:t>-year</w:t>
      </w:r>
      <w:r w:rsidR="00503D92">
        <w:t xml:space="preserve"> </w:t>
      </w:r>
      <w:r w:rsidR="0020369D">
        <w:t xml:space="preserve">Government bonds </w:t>
      </w:r>
      <w:r w:rsidR="00D072D3">
        <w:t xml:space="preserve">trading at </w:t>
      </w:r>
      <w:r w:rsidR="00A02F18">
        <w:rPr>
          <w:b/>
          <w:bCs/>
        </w:rPr>
        <w:t>4</w:t>
      </w:r>
      <w:r w:rsidR="00A02F18" w:rsidRPr="00A02F18">
        <w:rPr>
          <w:b/>
          <w:bCs/>
        </w:rPr>
        <w:t>.18</w:t>
      </w:r>
      <w:r w:rsidR="0020369D" w:rsidRPr="00A02F18">
        <w:rPr>
          <w:b/>
          <w:bCs/>
        </w:rPr>
        <w:t>%</w:t>
      </w:r>
      <w:r w:rsidR="0020369D">
        <w:t xml:space="preserve"> </w:t>
      </w:r>
      <w:r w:rsidR="00C23855">
        <w:t xml:space="preserve">on the </w:t>
      </w:r>
      <w:r w:rsidR="008229BA">
        <w:t>1</w:t>
      </w:r>
      <w:r w:rsidR="00A02F18">
        <w:t>5</w:t>
      </w:r>
      <w:r w:rsidR="008229BA" w:rsidRPr="008229BA">
        <w:rPr>
          <w:vertAlign w:val="superscript"/>
        </w:rPr>
        <w:t>th of</w:t>
      </w:r>
      <w:r w:rsidR="008229BA">
        <w:t xml:space="preserve"> </w:t>
      </w:r>
      <w:r w:rsidR="00343D9A">
        <w:t>Ju</w:t>
      </w:r>
      <w:r w:rsidR="00A02F18">
        <w:t>ly</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rsidRPr="008229BA">
        <w:rPr>
          <w:b/>
          <w:bCs/>
        </w:rPr>
        <w:t>4.</w:t>
      </w:r>
      <w:r w:rsidR="00A02F18">
        <w:rPr>
          <w:b/>
          <w:bCs/>
        </w:rPr>
        <w:t>367</w:t>
      </w:r>
      <w:r w:rsidR="00526D92" w:rsidRPr="008229BA">
        <w:rPr>
          <w:b/>
          <w:bCs/>
        </w:rPr>
        <w:t>%</w:t>
      </w:r>
      <w:r w:rsidR="00867FD2" w:rsidRPr="008229BA">
        <w:rPr>
          <w:b/>
          <w:bCs/>
        </w:rPr>
        <w:t>.</w:t>
      </w:r>
      <w:r w:rsidR="00712A94">
        <w:t xml:space="preserve"> </w:t>
      </w:r>
    </w:p>
    <w:p w14:paraId="3C549984" w14:textId="043A3750" w:rsidR="00894706" w:rsidRDefault="00ED23CC" w:rsidP="009E7EF6">
      <w:pPr>
        <w:spacing w:before="120" w:after="120"/>
      </w:pPr>
      <w:r>
        <w:t xml:space="preserve">Global Bonds </w:t>
      </w:r>
      <w:r w:rsidR="00C51753">
        <w:t xml:space="preserve">ended </w:t>
      </w:r>
      <w:r w:rsidR="00176974">
        <w:t>up</w:t>
      </w:r>
      <w:r w:rsidR="00BE2C9A">
        <w:t xml:space="preserve"> </w:t>
      </w:r>
      <w:r>
        <w:t>(</w:t>
      </w:r>
      <w:r w:rsidR="00176974">
        <w:t>+0.</w:t>
      </w:r>
      <w:r w:rsidR="00A02F18">
        <w:t>73</w:t>
      </w:r>
      <w:r w:rsidR="00867FD2">
        <w:t>%</w:t>
      </w:r>
      <w:r>
        <w:t>) and Australia</w:t>
      </w:r>
      <w:r w:rsidR="00037BFE">
        <w:t>n Bonds</w:t>
      </w:r>
      <w:r>
        <w:t xml:space="preserve"> end</w:t>
      </w:r>
      <w:r w:rsidR="002720B5">
        <w:t>ed</w:t>
      </w:r>
      <w:r>
        <w:t xml:space="preserve"> </w:t>
      </w:r>
      <w:r w:rsidR="00176974">
        <w:t>up</w:t>
      </w:r>
      <w:r w:rsidR="00867FD2">
        <w:t xml:space="preserve"> </w:t>
      </w:r>
      <w:r>
        <w:t>(</w:t>
      </w:r>
      <w:r w:rsidR="00176974">
        <w:t>+0.</w:t>
      </w:r>
      <w:r w:rsidR="00A02F18">
        <w:t>77</w:t>
      </w:r>
      <w:r w:rsidR="00A94C92">
        <w:t>%</w:t>
      </w:r>
      <w:r>
        <w:t>) for the month</w:t>
      </w:r>
      <w:r w:rsidR="00B6686A">
        <w:t xml:space="preserve"> of </w:t>
      </w:r>
      <w:r w:rsidR="00A02F18">
        <w:t>June</w:t>
      </w:r>
      <w:r w:rsidR="002F59EA">
        <w:t xml:space="preserve"> </w:t>
      </w:r>
      <w:r w:rsidR="00AA627D">
        <w:t>202</w:t>
      </w:r>
      <w:r w:rsidR="00A24C96">
        <w:t>4</w:t>
      </w:r>
      <w:r w:rsidR="0049196F">
        <w:t xml:space="preserve"> </w:t>
      </w:r>
      <w:r w:rsidR="00037BFE">
        <w:t>and</w:t>
      </w:r>
      <w:r w:rsidR="0049196F">
        <w:t xml:space="preserve"> </w:t>
      </w:r>
      <w:r w:rsidR="001846E3">
        <w:t>down</w:t>
      </w:r>
      <w:r w:rsidR="00763854">
        <w:t xml:space="preserve"> </w:t>
      </w:r>
      <w:r w:rsidR="0049196F">
        <w:t>(</w:t>
      </w:r>
      <w:r w:rsidR="001846E3">
        <w:t>-</w:t>
      </w:r>
      <w:r w:rsidR="00176974">
        <w:t>0.</w:t>
      </w:r>
      <w:r w:rsidR="00A02F18">
        <w:t>55</w:t>
      </w:r>
      <w:r w:rsidR="0058031F">
        <w:t>%</w:t>
      </w:r>
      <w:r w:rsidR="0049196F">
        <w:t>) and</w:t>
      </w:r>
      <w:r w:rsidR="00AB090A">
        <w:t xml:space="preserve"> </w:t>
      </w:r>
      <w:r w:rsidR="0049196F">
        <w:t>(</w:t>
      </w:r>
      <w:r w:rsidR="00E54896">
        <w:t>-</w:t>
      </w:r>
      <w:r w:rsidR="00176974">
        <w:t>0.</w:t>
      </w:r>
      <w:r w:rsidR="00A02F18">
        <w:t>84</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75E05EBD"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A02F18">
        <w:t>18</w:t>
      </w:r>
      <w:r w:rsidR="001846E3" w:rsidRPr="001846E3">
        <w:rPr>
          <w:vertAlign w:val="superscript"/>
        </w:rPr>
        <w:t>th of</w:t>
      </w:r>
      <w:r w:rsidR="001846E3">
        <w:t xml:space="preserve"> </w:t>
      </w:r>
      <w:r w:rsidR="00A02F18">
        <w:t>June</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09D60DB0" w14:textId="59AAA3AE" w:rsidR="00092751" w:rsidRDefault="00092751" w:rsidP="00E54896">
      <w:pPr>
        <w:spacing w:before="120" w:after="120"/>
        <w:ind w:left="720"/>
      </w:pPr>
      <w:r w:rsidRPr="00BC0D96">
        <w:rPr>
          <w:rFonts w:ascii="Calibri" w:hAnsi="Calibri" w:cs="Calibri"/>
          <w:i/>
          <w:iCs/>
          <w:color w:val="222222"/>
          <w:sz w:val="24"/>
          <w:szCs w:val="24"/>
          <w:shd w:val="clear" w:color="auto" w:fill="FFFFFF"/>
        </w:rPr>
        <w:t>“</w:t>
      </w:r>
      <w:r w:rsidR="00AD109F" w:rsidRPr="00AD109F">
        <w:rPr>
          <w:rFonts w:ascii="Calibri" w:hAnsi="Calibri" w:cs="Calibri"/>
          <w:i/>
          <w:iCs/>
          <w:color w:val="222222"/>
          <w:sz w:val="24"/>
          <w:szCs w:val="24"/>
          <w:shd w:val="clear" w:color="auto" w:fill="FFFFFF"/>
        </w:rPr>
        <w:t xml:space="preserve">The Board expects that it will be some time yet before inflation is sustainably in the target range. While recent data have been mixed, they have reinforced the need to remain vigilant to upside risks to inflation. The path of interest rates that will best ensure that inflation returns to target in a reasonable timeframe remains uncertain and the Board is not ruling anything in or out. The Board will rely upon the data and </w:t>
      </w:r>
      <w:r w:rsidR="00AD109F" w:rsidRPr="00AD109F">
        <w:rPr>
          <w:rFonts w:ascii="Calibri" w:hAnsi="Calibri" w:cs="Calibri"/>
          <w:i/>
          <w:iCs/>
          <w:color w:val="222222"/>
          <w:sz w:val="24"/>
          <w:szCs w:val="24"/>
          <w:shd w:val="clear" w:color="auto" w:fill="FFFFFF"/>
        </w:rPr>
        <w:lastRenderedPageBreak/>
        <w:t>the evolving assessment of risks. In doing so, it will continue to pay close attention to developments in the global economy, trends in domestic demand, and the outlook for inflation and the labour market. The Board remains resolute in its determination to return inflation to target and will do what is necessary to achieve that outcome</w:t>
      </w:r>
      <w:r w:rsidRPr="00BC0D96">
        <w:rPr>
          <w:rFonts w:ascii="Calibri" w:hAnsi="Calibri" w:cs="Calibri"/>
          <w:i/>
          <w:iCs/>
          <w:color w:val="222222"/>
          <w:sz w:val="24"/>
          <w:szCs w:val="24"/>
          <w:shd w:val="clear" w:color="auto" w:fill="FFFFFF"/>
        </w:rPr>
        <w:t>.”</w:t>
      </w:r>
    </w:p>
    <w:p w14:paraId="05D6E233" w14:textId="63962779" w:rsidR="00892EB2" w:rsidRPr="007E048D" w:rsidRDefault="00892EB2" w:rsidP="00892EB2">
      <w:pPr>
        <w:spacing w:before="0" w:after="0" w:line="360" w:lineRule="auto"/>
        <w:ind w:left="720"/>
        <w:rPr>
          <w:rFonts w:ascii="Calibri" w:hAnsi="Calibri" w:cs="Calibri"/>
          <w:i/>
          <w:iCs/>
          <w:color w:val="222222"/>
          <w:shd w:val="clear" w:color="auto" w:fill="FFFFFF"/>
        </w:rPr>
      </w:pPr>
      <w:bookmarkStart w:id="4" w:name="_Hlk163814096"/>
      <w:r w:rsidRPr="007E048D">
        <w:rPr>
          <w:rFonts w:ascii="Calibri" w:hAnsi="Calibri" w:cs="Calibri"/>
          <w:i/>
          <w:iCs/>
          <w:color w:val="222222"/>
          <w:shd w:val="clear" w:color="auto" w:fill="FFFFFF"/>
        </w:rPr>
        <w:t xml:space="preserve">Michelle Bullock, Governor, RBA Monetary Policy Board meeting, </w:t>
      </w:r>
      <w:r w:rsidR="00AD109F">
        <w:rPr>
          <w:rFonts w:ascii="Calibri" w:hAnsi="Calibri" w:cs="Calibri"/>
          <w:i/>
          <w:iCs/>
          <w:color w:val="222222"/>
          <w:shd w:val="clear" w:color="auto" w:fill="FFFFFF"/>
        </w:rPr>
        <w:t>18</w:t>
      </w:r>
      <w:r w:rsidR="006C0F3A" w:rsidRPr="007E048D">
        <w:rPr>
          <w:rFonts w:ascii="Calibri" w:hAnsi="Calibri" w:cs="Calibri"/>
          <w:i/>
          <w:iCs/>
          <w:color w:val="222222"/>
          <w:shd w:val="clear" w:color="auto" w:fill="FFFFFF"/>
          <w:vertAlign w:val="superscript"/>
        </w:rPr>
        <w:t>th</w:t>
      </w:r>
      <w:r w:rsidR="006C0F3A" w:rsidRPr="007E048D">
        <w:rPr>
          <w:rFonts w:ascii="Calibri" w:hAnsi="Calibri" w:cs="Calibri"/>
          <w:i/>
          <w:iCs/>
          <w:color w:val="222222"/>
          <w:shd w:val="clear" w:color="auto" w:fill="FFFFFF"/>
        </w:rPr>
        <w:t xml:space="preserve"> </w:t>
      </w:r>
      <w:r w:rsidR="00AD109F">
        <w:rPr>
          <w:rFonts w:ascii="Calibri" w:hAnsi="Calibri" w:cs="Calibri"/>
          <w:i/>
          <w:iCs/>
          <w:color w:val="222222"/>
          <w:shd w:val="clear" w:color="auto" w:fill="FFFFFF"/>
        </w:rPr>
        <w:t>June</w:t>
      </w:r>
      <w:r w:rsidRPr="007E048D">
        <w:rPr>
          <w:rFonts w:ascii="Calibri" w:hAnsi="Calibri" w:cs="Calibri"/>
          <w:i/>
          <w:iCs/>
          <w:color w:val="222222"/>
          <w:shd w:val="clear" w:color="auto" w:fill="FFFFFF"/>
        </w:rPr>
        <w:t xml:space="preserve"> 202</w:t>
      </w:r>
      <w:r w:rsidR="00A24C96" w:rsidRPr="007E048D">
        <w:rPr>
          <w:rFonts w:ascii="Calibri" w:hAnsi="Calibri" w:cs="Calibri"/>
          <w:i/>
          <w:iCs/>
          <w:color w:val="222222"/>
          <w:shd w:val="clear" w:color="auto" w:fill="FFFFFF"/>
        </w:rPr>
        <w:t>4</w:t>
      </w:r>
      <w:r w:rsidRPr="007E048D">
        <w:rPr>
          <w:rFonts w:ascii="Calibri" w:hAnsi="Calibri" w:cs="Calibri"/>
          <w:i/>
          <w:iCs/>
          <w:color w:val="222222"/>
          <w:shd w:val="clear" w:color="auto" w:fill="FFFFFF"/>
        </w:rPr>
        <w:t>.</w:t>
      </w:r>
    </w:p>
    <w:bookmarkEnd w:id="4"/>
    <w:p w14:paraId="1AD31197" w14:textId="161CCD29" w:rsidR="00AB090A" w:rsidRDefault="00A128A7" w:rsidP="00E418B6">
      <w:pPr>
        <w:spacing w:before="120" w:after="120"/>
      </w:pPr>
      <w:r w:rsidRPr="00A128A7">
        <w:t>The US Federal Reserve Bank (</w:t>
      </w:r>
      <w:r w:rsidR="00EB7825">
        <w:t>t</w:t>
      </w:r>
      <w:r w:rsidRPr="00A128A7">
        <w:t xml:space="preserve">he Fed) </w:t>
      </w:r>
      <w:r w:rsidR="006237DD">
        <w:t>kept</w:t>
      </w:r>
      <w:r w:rsidR="0034094D">
        <w:t xml:space="preserve"> their monetary policy </w:t>
      </w:r>
      <w:r w:rsidR="00D72327">
        <w:t xml:space="preserve">measures </w:t>
      </w:r>
      <w:r w:rsidR="006237DD">
        <w:t>on</w:t>
      </w:r>
      <w:r w:rsidR="00D72327">
        <w:t xml:space="preserve"> </w:t>
      </w:r>
      <w:r w:rsidR="0034094D">
        <w:t>hold</w:t>
      </w:r>
      <w:r w:rsidR="006237DD">
        <w:t xml:space="preserve"> by maintaining</w:t>
      </w:r>
      <w:r w:rsidRPr="00A128A7">
        <w:t xml:space="preserve"> the target range for </w:t>
      </w:r>
      <w:r w:rsidRPr="00A128A7">
        <w:rPr>
          <w:b/>
          <w:bCs/>
        </w:rPr>
        <w:t>federal funds</w:t>
      </w:r>
      <w:r w:rsidR="00E418B6">
        <w:rPr>
          <w:b/>
          <w:bCs/>
        </w:rPr>
        <w:t xml:space="preserve"> </w:t>
      </w:r>
      <w:r w:rsidR="006237DD">
        <w:rPr>
          <w:b/>
          <w:bCs/>
        </w:rPr>
        <w:t>at</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784097">
        <w:t>12</w:t>
      </w:r>
      <w:r w:rsidR="00784097" w:rsidRPr="00EA33BB">
        <w:rPr>
          <w:vertAlign w:val="superscript"/>
        </w:rPr>
        <w:t>th of</w:t>
      </w:r>
      <w:r w:rsidR="00EA33BB">
        <w:t xml:space="preserve"> June</w:t>
      </w:r>
      <w:r w:rsidR="00E3116F">
        <w:t xml:space="preserve"> 202</w:t>
      </w:r>
      <w:r w:rsidR="006237DD">
        <w:t>4</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6E99CB82" w:rsidR="007A5EA0" w:rsidRDefault="007A5EA0" w:rsidP="00354CB7">
      <w:pPr>
        <w:spacing w:before="120" w:after="120"/>
      </w:pPr>
      <w:r w:rsidRPr="007A5EA0">
        <w:t>The US 10-year Government bonds closed at (</w:t>
      </w:r>
      <w:r w:rsidR="00BE2C9A">
        <w:t>4.</w:t>
      </w:r>
      <w:r w:rsidR="00EA33BB">
        <w:t>3</w:t>
      </w:r>
      <w:r w:rsidR="005A7426">
        <w:t>92</w:t>
      </w:r>
      <w:r w:rsidRPr="007A5EA0">
        <w:t xml:space="preserve">%) for the </w:t>
      </w:r>
      <w:r w:rsidR="00C175CC">
        <w:t>month</w:t>
      </w:r>
      <w:r w:rsidRPr="007A5EA0">
        <w:t xml:space="preserve"> </w:t>
      </w:r>
      <w:r w:rsidR="00EA33BB">
        <w:t>down</w:t>
      </w:r>
      <w:r w:rsidRPr="007A5EA0">
        <w:t xml:space="preserve"> in yield (</w:t>
      </w:r>
      <w:r w:rsidR="00EA33BB">
        <w:t>-0.</w:t>
      </w:r>
      <w:r w:rsidR="005A7426">
        <w:t>111</w:t>
      </w:r>
      <w:r w:rsidRPr="007A5EA0">
        <w:t xml:space="preserve">%) from the previous </w:t>
      </w:r>
      <w:r>
        <w:t>month</w:t>
      </w:r>
      <w:r w:rsidRPr="007A5EA0">
        <w:t xml:space="preserve"> close of </w:t>
      </w:r>
      <w:r w:rsidR="002F043F">
        <w:t>(</w:t>
      </w:r>
      <w:r w:rsidR="00092751">
        <w:t>4.</w:t>
      </w:r>
      <w:r w:rsidR="005A7426">
        <w:t>503</w:t>
      </w:r>
      <w:r w:rsidRPr="007A5EA0">
        <w:t xml:space="preserve">%). </w:t>
      </w:r>
    </w:p>
    <w:p w14:paraId="7B169699" w14:textId="12DA68B9" w:rsidR="007A5EA0" w:rsidRPr="00D341D7" w:rsidRDefault="007A5EA0" w:rsidP="007A5EA0">
      <w:pPr>
        <w:spacing w:before="120" w:after="120" w:line="240" w:lineRule="auto"/>
      </w:pPr>
      <w:r w:rsidRPr="00D341D7">
        <w:t xml:space="preserve">The Australian Government 10-year bonds finished </w:t>
      </w:r>
      <w:r w:rsidR="00EA33BB">
        <w:t>lower</w:t>
      </w:r>
      <w:r w:rsidRPr="00D341D7">
        <w:t xml:space="preserve"> in yield in</w:t>
      </w:r>
      <w:r w:rsidR="00767F50">
        <w:t xml:space="preserve"> </w:t>
      </w:r>
      <w:r w:rsidR="005A7426">
        <w:t>June</w:t>
      </w:r>
      <w:r w:rsidRPr="00D341D7">
        <w:t xml:space="preserve"> 202</w:t>
      </w:r>
      <w:r w:rsidR="00EB3A29">
        <w:t>4</w:t>
      </w:r>
      <w:r w:rsidRPr="00D341D7">
        <w:t xml:space="preserve"> at (</w:t>
      </w:r>
      <w:r w:rsidR="00EB3A29">
        <w:t>4.</w:t>
      </w:r>
      <w:r w:rsidR="00F22740">
        <w:t>3</w:t>
      </w:r>
      <w:r w:rsidR="005A7426">
        <w:t>51</w:t>
      </w:r>
      <w:r w:rsidRPr="00D341D7">
        <w:t xml:space="preserve">%) </w:t>
      </w:r>
      <w:r w:rsidR="00EA33BB">
        <w:t>down</w:t>
      </w:r>
      <w:r w:rsidR="00702885">
        <w:t xml:space="preserve"> </w:t>
      </w:r>
      <w:r w:rsidR="00C175CC">
        <w:t xml:space="preserve">in yield </w:t>
      </w:r>
      <w:r w:rsidRPr="00D341D7">
        <w:t>(</w:t>
      </w:r>
      <w:r w:rsidR="00EA33BB">
        <w:t>-0.</w:t>
      </w:r>
      <w:r w:rsidR="005A7426">
        <w:t>048</w:t>
      </w:r>
      <w:r w:rsidRPr="00D341D7">
        <w:t>) from (</w:t>
      </w:r>
      <w:r w:rsidR="00BE2C9A">
        <w:t>4.</w:t>
      </w:r>
      <w:r w:rsidR="005A7426">
        <w:t>399</w:t>
      </w:r>
      <w:r w:rsidRPr="00D341D7">
        <w:t xml:space="preserve">%) in </w:t>
      </w:r>
      <w:r w:rsidR="005A7426">
        <w:t>May</w:t>
      </w:r>
      <w:r w:rsidRPr="00D341D7">
        <w:t xml:space="preserve"> 202</w:t>
      </w:r>
      <w:r w:rsidR="00BE2C9A">
        <w:t>4</w:t>
      </w:r>
      <w:r w:rsidRPr="00D341D7">
        <w:t xml:space="preserve">. </w:t>
      </w:r>
    </w:p>
    <w:p w14:paraId="2FF27718" w14:textId="1D7EE77A" w:rsidR="009E7EF6" w:rsidRDefault="005A7426" w:rsidP="009E7EF6">
      <w:pPr>
        <w:spacing w:before="120" w:after="120"/>
        <w:jc w:val="center"/>
      </w:pPr>
      <w:r w:rsidRPr="005A7426">
        <w:rPr>
          <w:noProof/>
        </w:rPr>
        <w:drawing>
          <wp:inline distT="0" distB="0" distL="0" distR="0" wp14:anchorId="0C4F7BCA" wp14:editId="3926B873">
            <wp:extent cx="4364355" cy="1636395"/>
            <wp:effectExtent l="0" t="0" r="0" b="0"/>
            <wp:docPr id="15259308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4355" cy="1636395"/>
                    </a:xfrm>
                    <a:prstGeom prst="rect">
                      <a:avLst/>
                    </a:prstGeom>
                    <a:noFill/>
                    <a:ln>
                      <a:noFill/>
                    </a:ln>
                  </pic:spPr>
                </pic:pic>
              </a:graphicData>
            </a:graphic>
          </wp:inline>
        </w:drawing>
      </w:r>
    </w:p>
    <w:p w14:paraId="03CFA4CC" w14:textId="266C7ACC"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092751">
        <w:rPr>
          <w:sz w:val="18"/>
        </w:rPr>
        <w:t>3</w:t>
      </w:r>
      <w:r w:rsidR="005A7426">
        <w:rPr>
          <w:sz w:val="18"/>
        </w:rPr>
        <w:t>0</w:t>
      </w:r>
      <w:r w:rsidR="005A7426" w:rsidRPr="005A7426">
        <w:rPr>
          <w:sz w:val="18"/>
          <w:vertAlign w:val="superscript"/>
        </w:rPr>
        <w:t>th</w:t>
      </w:r>
      <w:r w:rsidR="005A7426">
        <w:rPr>
          <w:sz w:val="18"/>
        </w:rPr>
        <w:t xml:space="preserve"> June</w:t>
      </w:r>
      <w:r w:rsidR="009B1992">
        <w:rPr>
          <w:sz w:val="18"/>
        </w:rPr>
        <w:t xml:space="preserve"> </w:t>
      </w:r>
      <w:r w:rsidR="00AA627D">
        <w:rPr>
          <w:sz w:val="18"/>
        </w:rPr>
        <w:t>202</w:t>
      </w:r>
      <w:r w:rsidR="000D513F">
        <w:rPr>
          <w:sz w:val="18"/>
        </w:rPr>
        <w:t>4</w:t>
      </w: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1AC30EC8" w:rsidR="009E7EF6" w:rsidRDefault="009E7EF6" w:rsidP="00A70A09">
      <w:pPr>
        <w:spacing w:before="0" w:after="0"/>
      </w:pPr>
      <w:r>
        <w:t xml:space="preserve">The </w:t>
      </w:r>
      <w:r w:rsidR="00590B4A">
        <w:t>$</w:t>
      </w:r>
      <w:r>
        <w:t xml:space="preserve">A closed </w:t>
      </w:r>
      <w:r w:rsidR="00F61D2D">
        <w:t>weak</w:t>
      </w:r>
      <w:r w:rsidR="009452BE">
        <w:t>er</w:t>
      </w:r>
      <w:r w:rsidR="009B1992">
        <w:t xml:space="preserve"> </w:t>
      </w:r>
      <w:r w:rsidR="00590B4A">
        <w:t xml:space="preserve">AUD/USD </w:t>
      </w:r>
      <w:r>
        <w:t>0.</w:t>
      </w:r>
      <w:r w:rsidR="003638C4">
        <w:t>6</w:t>
      </w:r>
      <w:r w:rsidR="00A72332">
        <w:t>6</w:t>
      </w:r>
      <w:r w:rsidR="005A7426">
        <w:t>24</w:t>
      </w:r>
      <w:r>
        <w:t xml:space="preserve"> at the end of </w:t>
      </w:r>
      <w:r w:rsidR="005A7426">
        <w:t>June</w:t>
      </w:r>
      <w:r w:rsidR="00AA627D">
        <w:t xml:space="preserve"> 202</w:t>
      </w:r>
      <w:r w:rsidR="000D513F">
        <w:t>4</w:t>
      </w:r>
      <w:r>
        <w:t xml:space="preserve"> which </w:t>
      </w:r>
      <w:r w:rsidR="005A7426">
        <w:t>added to</w:t>
      </w:r>
      <w:r w:rsidR="00A72332">
        <w:t xml:space="preserve"> returns for</w:t>
      </w:r>
      <w:r>
        <w:t xml:space="preserve"> investors who held offshore assets unhedged (</w:t>
      </w:r>
      <w:r w:rsidR="005A7426">
        <w:t>+0.</w:t>
      </w:r>
      <w:r w:rsidR="00A72332">
        <w:t>2</w:t>
      </w:r>
      <w:r w:rsidR="005A7426">
        <w:t>0</w:t>
      </w:r>
      <w:r>
        <w:t xml:space="preserve">%) over the </w:t>
      </w:r>
      <w:r w:rsidR="00CE6ADD">
        <w:t xml:space="preserve">month </w:t>
      </w:r>
      <w:r w:rsidR="00DE0182">
        <w:t>and</w:t>
      </w:r>
      <w:r w:rsidR="00CA7193">
        <w:t xml:space="preserve"> </w:t>
      </w:r>
      <w:r w:rsidR="00A72332">
        <w:t>cost</w:t>
      </w:r>
      <w:r w:rsidR="009452BE">
        <w:t xml:space="preserve"> them </w:t>
      </w:r>
      <w:r w:rsidR="00CE6ADD">
        <w:t>(</w:t>
      </w:r>
      <w:r w:rsidR="00A72332">
        <w:t>-1.</w:t>
      </w:r>
      <w:r w:rsidR="005A7426">
        <w:t>4</w:t>
      </w:r>
      <w:r w:rsidR="00A72332">
        <w:t>1</w:t>
      </w:r>
      <w:r w:rsidR="00CE6ADD">
        <w:t>%</w:t>
      </w:r>
      <w:r w:rsidR="0088021D">
        <w:t>)</w:t>
      </w:r>
      <w:r w:rsidR="00CE6ADD">
        <w:t xml:space="preserve"> </w:t>
      </w:r>
      <w:r w:rsidR="0088021D">
        <w:t xml:space="preserve">over the </w:t>
      </w:r>
      <w:r>
        <w:t>last three months.</w:t>
      </w:r>
    </w:p>
    <w:p w14:paraId="61BE8DE3" w14:textId="116164AF" w:rsidR="004D2D2C" w:rsidRDefault="00252B62" w:rsidP="004D2D2C">
      <w:pPr>
        <w:jc w:val="center"/>
      </w:pPr>
      <w:r>
        <w:rPr>
          <w:noProof/>
        </w:rPr>
        <mc:AlternateContent>
          <mc:Choice Requires="wps">
            <w:drawing>
              <wp:anchor distT="45720" distB="45720" distL="114300" distR="114300" simplePos="0" relativeHeight="251659264" behindDoc="0" locked="0" layoutInCell="1" allowOverlap="1" wp14:anchorId="7430CB9B" wp14:editId="6CC9B63E">
                <wp:simplePos x="0" y="0"/>
                <wp:positionH relativeFrom="column">
                  <wp:posOffset>2769235</wp:posOffset>
                </wp:positionH>
                <wp:positionV relativeFrom="paragraph">
                  <wp:posOffset>154940</wp:posOffset>
                </wp:positionV>
                <wp:extent cx="2824480" cy="1244600"/>
                <wp:effectExtent l="6985" t="11430" r="6985" b="10795"/>
                <wp:wrapSquare wrapText="bothSides"/>
                <wp:docPr id="1532036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1244600"/>
                        </a:xfrm>
                        <a:prstGeom prst="rect">
                          <a:avLst/>
                        </a:prstGeom>
                        <a:solidFill>
                          <a:srgbClr val="FFFFFF"/>
                        </a:solidFill>
                        <a:ln w="9525">
                          <a:solidFill>
                            <a:srgbClr val="000000"/>
                          </a:solidFill>
                          <a:miter lim="800000"/>
                          <a:headEnd/>
                          <a:tailEnd/>
                        </a:ln>
                      </wps:spPr>
                      <wps:txb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0CB9B" id="_x0000_t202" coordsize="21600,21600" o:spt="202" path="m,l,21600r21600,l21600,xe">
                <v:stroke joinstyle="miter"/>
                <v:path gradientshapeok="t" o:connecttype="rect"/>
              </v:shapetype>
              <v:shape id="Text Box 2" o:spid="_x0000_s1026" type="#_x0000_t202" style="position:absolute;left:0;text-align:left;margin-left:218.05pt;margin-top:12.2pt;width:222.4pt;height: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">
                <v:textbo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v:textbox>
                <w10:wrap type="square"/>
              </v:shape>
            </w:pict>
          </mc:Fallback>
        </mc:AlternateContent>
      </w:r>
      <w:r w:rsidR="00062337" w:rsidRPr="00062337">
        <w:rPr>
          <w:noProof/>
        </w:rPr>
        <w:drawing>
          <wp:inline distT="0" distB="0" distL="0" distR="0" wp14:anchorId="150406EF" wp14:editId="2BB9BB91">
            <wp:extent cx="1990165" cy="1605655"/>
            <wp:effectExtent l="0" t="0" r="0" b="0"/>
            <wp:docPr id="11406110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5763" cy="1610171"/>
                    </a:xfrm>
                    <a:prstGeom prst="rect">
                      <a:avLst/>
                    </a:prstGeom>
                    <a:noFill/>
                    <a:ln>
                      <a:noFill/>
                    </a:ln>
                  </pic:spPr>
                </pic:pic>
              </a:graphicData>
            </a:graphic>
          </wp:inline>
        </w:drawing>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lastRenderedPageBreak/>
        <w:t>Australian Economy</w:t>
      </w:r>
    </w:p>
    <w:p w14:paraId="26EE5924" w14:textId="24D394E8" w:rsidR="009E7EF6" w:rsidRDefault="00E83078" w:rsidP="00A70A09">
      <w:pPr>
        <w:spacing w:before="0" w:after="240"/>
      </w:pPr>
      <w:r w:rsidRPr="00E83078">
        <w:t xml:space="preserve">Australia’s latest GDP data for the </w:t>
      </w:r>
      <w:r w:rsidR="001F699A">
        <w:t>f</w:t>
      </w:r>
      <w:r w:rsidR="0091516C">
        <w:t>irst</w:t>
      </w:r>
      <w:r w:rsidRPr="00E83078">
        <w:t xml:space="preserve"> quarter of 202</w:t>
      </w:r>
      <w:r w:rsidR="0091516C">
        <w:t>4</w:t>
      </w:r>
      <w:r w:rsidRPr="00E83078">
        <w:t xml:space="preserve"> revealed an </w:t>
      </w:r>
      <w:r w:rsidRPr="00E83078">
        <w:rPr>
          <w:b/>
          <w:bCs/>
        </w:rPr>
        <w:t xml:space="preserve">annual growth rate of </w:t>
      </w:r>
      <w:r w:rsidR="001F699A">
        <w:rPr>
          <w:b/>
          <w:bCs/>
        </w:rPr>
        <w:t>1.</w:t>
      </w:r>
      <w:r w:rsidR="0091516C">
        <w:rPr>
          <w:b/>
          <w:bCs/>
        </w:rPr>
        <w:t>1</w:t>
      </w:r>
      <w:r w:rsidRPr="00E83078">
        <w:rPr>
          <w:b/>
          <w:bCs/>
        </w:rPr>
        <w:t>%</w:t>
      </w:r>
      <w:r w:rsidRPr="00E83078">
        <w:t xml:space="preserve"> which was </w:t>
      </w:r>
      <w:r w:rsidR="001F699A">
        <w:t>down</w:t>
      </w:r>
      <w:r w:rsidR="002656F2">
        <w:t xml:space="preserve"> f</w:t>
      </w:r>
      <w:r w:rsidRPr="00E83078">
        <w:t xml:space="preserve">rom </w:t>
      </w:r>
      <w:r w:rsidR="0091516C">
        <w:t>1.5</w:t>
      </w:r>
      <w:r w:rsidR="001F699A">
        <w:t xml:space="preserve">0% in the </w:t>
      </w:r>
      <w:r w:rsidR="0091516C">
        <w:t>fourth</w:t>
      </w:r>
      <w:r w:rsidR="001F699A">
        <w:t xml:space="preserve"> </w:t>
      </w:r>
      <w:r w:rsidRPr="00E83078">
        <w:t>quarter of 202</w:t>
      </w:r>
      <w:r w:rsidR="006A288D">
        <w:t>3</w:t>
      </w:r>
      <w:r w:rsidR="002656F2">
        <w:t>.</w:t>
      </w:r>
      <w:r w:rsidRPr="00E83078">
        <w:t xml:space="preserve"> Unemployment </w:t>
      </w:r>
      <w:r w:rsidR="0091516C">
        <w:t>fell</w:t>
      </w:r>
      <w:r w:rsidR="009F26B6">
        <w:t xml:space="preserve"> to </w:t>
      </w:r>
      <w:r w:rsidR="0091516C">
        <w:t>4.0</w:t>
      </w:r>
      <w:r w:rsidR="00481C63">
        <w:t xml:space="preserve">% </w:t>
      </w:r>
      <w:r w:rsidRPr="00E83078">
        <w:t xml:space="preserve">in </w:t>
      </w:r>
      <w:r w:rsidR="0091516C">
        <w:t>May</w:t>
      </w:r>
      <w:r w:rsidRPr="00E83078">
        <w:t xml:space="preserve"> 202</w:t>
      </w:r>
      <w:r w:rsidR="0089173A">
        <w:t>4</w:t>
      </w:r>
      <w:r w:rsidR="009F26B6">
        <w:t xml:space="preserve"> from </w:t>
      </w:r>
      <w:r w:rsidR="0091516C">
        <w:t>4.1</w:t>
      </w:r>
      <w:r w:rsidR="009F26B6">
        <w:t>%</w:t>
      </w:r>
      <w:r w:rsidR="009452BE">
        <w:t xml:space="preserve"> </w:t>
      </w:r>
      <w:r w:rsidR="0091516C">
        <w:t>i</w:t>
      </w:r>
      <w:r w:rsidR="009452BE">
        <w:t xml:space="preserve">n </w:t>
      </w:r>
      <w:r w:rsidR="0091516C">
        <w:t>April</w:t>
      </w:r>
      <w:r w:rsidR="009452BE">
        <w:t xml:space="preserve"> 2024</w:t>
      </w:r>
      <w:r w:rsidR="00172387">
        <w:t>.</w:t>
      </w:r>
      <w:r w:rsidRPr="00E83078">
        <w:t xml:space="preserve"> The </w:t>
      </w:r>
      <w:r w:rsidR="001918FE" w:rsidRPr="007D7864">
        <w:rPr>
          <w:b/>
          <w:bCs/>
        </w:rPr>
        <w:t xml:space="preserve">inflation rate eased to </w:t>
      </w:r>
      <w:r w:rsidR="00A7764C">
        <w:rPr>
          <w:b/>
          <w:bCs/>
        </w:rPr>
        <w:t>3.6</w:t>
      </w:r>
      <w:r w:rsidR="001918FE" w:rsidRPr="007D7864">
        <w:rPr>
          <w:b/>
          <w:bCs/>
        </w:rPr>
        <w:t>%</w:t>
      </w:r>
      <w:r w:rsidR="001918FE">
        <w:t xml:space="preserve"> in the f</w:t>
      </w:r>
      <w:r w:rsidR="00A7764C">
        <w:t>irst</w:t>
      </w:r>
      <w:r w:rsidR="001918FE">
        <w:t xml:space="preserve"> quarter of 202</w:t>
      </w:r>
      <w:r w:rsidR="00A7764C">
        <w:t>4</w:t>
      </w:r>
      <w:r w:rsidR="001918FE">
        <w:t xml:space="preserve"> down from </w:t>
      </w:r>
      <w:r w:rsidR="00A7764C">
        <w:t>4.1</w:t>
      </w:r>
      <w:r w:rsidR="001918FE">
        <w:t xml:space="preserve">% in the </w:t>
      </w:r>
      <w:r w:rsidR="00A7764C">
        <w:t>fourth</w:t>
      </w:r>
      <w:r w:rsidR="001918FE">
        <w:t xml:space="preserve"> quarter 2023, </w:t>
      </w:r>
      <w:r w:rsidR="009E7EF6">
        <w:t xml:space="preserve">which is </w:t>
      </w:r>
      <w:r w:rsidR="008214C4">
        <w:t>above</w:t>
      </w:r>
      <w:r w:rsidR="00892627">
        <w:t xml:space="preserve"> the </w:t>
      </w:r>
      <w:r w:rsidR="009E7EF6">
        <w:t>Reserve Bank’s targeted 2% to 3% target range.</w:t>
      </w:r>
      <w:r w:rsidR="009E7EF6" w:rsidRPr="00954E33">
        <w:t xml:space="preserve"> </w:t>
      </w:r>
    </w:p>
    <w:p w14:paraId="2527D827" w14:textId="41D11F4D" w:rsidR="00147535" w:rsidRDefault="00062337" w:rsidP="00C96BC6">
      <w:pPr>
        <w:pStyle w:val="Heading2"/>
        <w:jc w:val="center"/>
        <w:rPr>
          <w:b w:val="0"/>
          <w:bCs w:val="0"/>
        </w:rPr>
      </w:pPr>
      <w:r w:rsidRPr="00062337">
        <w:rPr>
          <w:b w:val="0"/>
          <w:bCs w:val="0"/>
          <w:noProof/>
        </w:rPr>
        <w:drawing>
          <wp:inline distT="0" distB="0" distL="0" distR="0" wp14:anchorId="49B1FCD1" wp14:editId="349EACB9">
            <wp:extent cx="2513510" cy="2105425"/>
            <wp:effectExtent l="0" t="0" r="0" b="0"/>
            <wp:docPr id="2445781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1883" cy="2112438"/>
                    </a:xfrm>
                    <a:prstGeom prst="rect">
                      <a:avLst/>
                    </a:prstGeom>
                    <a:noFill/>
                    <a:ln>
                      <a:noFill/>
                    </a:ln>
                  </pic:spPr>
                </pic:pic>
              </a:graphicData>
            </a:graphic>
          </wp:inline>
        </w:drawing>
      </w:r>
      <w:r w:rsidR="00907005" w:rsidRPr="00907005">
        <w:rPr>
          <w:b w:val="0"/>
          <w:bCs w:val="0"/>
        </w:rPr>
        <w:t xml:space="preserve"> </w:t>
      </w:r>
      <w:r w:rsidRPr="00062337">
        <w:rPr>
          <w:b w:val="0"/>
          <w:bCs w:val="0"/>
          <w:noProof/>
        </w:rPr>
        <w:drawing>
          <wp:inline distT="0" distB="0" distL="0" distR="0" wp14:anchorId="30F6C8AF" wp14:editId="1ED2D94A">
            <wp:extent cx="2425129" cy="2105425"/>
            <wp:effectExtent l="0" t="0" r="0" b="0"/>
            <wp:docPr id="1802360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6342" cy="2115160"/>
                    </a:xfrm>
                    <a:prstGeom prst="rect">
                      <a:avLst/>
                    </a:prstGeom>
                    <a:noFill/>
                    <a:ln>
                      <a:noFill/>
                    </a:ln>
                  </pic:spPr>
                </pic:pic>
              </a:graphicData>
            </a:graphic>
          </wp:inline>
        </w:drawing>
      </w: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6B9645CD"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 xml:space="preserve">is </w:t>
      </w:r>
      <w:r w:rsidR="008116BB" w:rsidRPr="00C96BC6">
        <w:rPr>
          <w:b/>
          <w:bCs/>
        </w:rPr>
        <w:t>“</w:t>
      </w:r>
      <w:r w:rsidR="0077020B">
        <w:rPr>
          <w:b/>
          <w:bCs/>
        </w:rPr>
        <w:t xml:space="preserve">cautiously </w:t>
      </w:r>
      <w:proofErr w:type="gramStart"/>
      <w:r w:rsidR="0077020B">
        <w:rPr>
          <w:b/>
          <w:bCs/>
        </w:rPr>
        <w:t>optimistic</w:t>
      </w:r>
      <w:r w:rsidR="008116BB" w:rsidRPr="00C96BC6">
        <w:rPr>
          <w:b/>
          <w:bCs/>
        </w:rPr>
        <w:t>”</w:t>
      </w:r>
      <w:r w:rsidR="005A4CB4">
        <w:t xml:space="preserve"> </w:t>
      </w:r>
      <w:r w:rsidR="00C96BC6">
        <w:t xml:space="preserve"> </w:t>
      </w:r>
      <w:r w:rsidR="0029438A">
        <w:t>and</w:t>
      </w:r>
      <w:proofErr w:type="gramEnd"/>
      <w:r w:rsidR="00C96BC6">
        <w:t xml:space="preserve"> remains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expected to </w:t>
      </w:r>
      <w:r w:rsidR="002903A6">
        <w:t>ease</w:t>
      </w:r>
      <w:r w:rsidR="00C96BC6">
        <w:t xml:space="preserve"> </w:t>
      </w:r>
      <w:r w:rsidR="0077020B">
        <w:t xml:space="preserve">later in 2024 </w:t>
      </w:r>
      <w:r w:rsidR="00C96BC6">
        <w:t>along with inflation</w:t>
      </w:r>
      <w:r w:rsidR="00745215">
        <w:t xml:space="preserve">. </w:t>
      </w:r>
    </w:p>
    <w:p w14:paraId="584F1152" w14:textId="44B5074F" w:rsidR="0077020B" w:rsidRDefault="0077020B" w:rsidP="00001F8C">
      <w:r>
        <w:t xml:space="preserve">Much will depend on how the economy reacts to the tax changes coming in July 2024 and the State Governments cash splash and the impact on consumer spending. Needless to say: </w:t>
      </w:r>
      <w:r w:rsidRPr="0077020B">
        <w:rPr>
          <w:b/>
          <w:bCs/>
        </w:rPr>
        <w:t>Higher spending=higher demand=higher prices=higher inflation=higher for longer interest rates.</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6B72D299" w14:textId="71D21616" w:rsidR="002761ED" w:rsidRDefault="00FD5867" w:rsidP="004273DE">
      <w:pPr>
        <w:spacing w:before="120" w:after="120"/>
      </w:pPr>
      <w:r>
        <w:t>Global</w:t>
      </w:r>
      <w:r w:rsidR="00F11088">
        <w:t xml:space="preserve"> </w:t>
      </w:r>
      <w:r w:rsidR="0077020B">
        <w:t xml:space="preserve">share </w:t>
      </w:r>
      <w:r w:rsidR="002761ED">
        <w:t xml:space="preserve">market </w:t>
      </w:r>
      <w:r w:rsidR="001451A8">
        <w:t xml:space="preserve">returns </w:t>
      </w:r>
      <w:r w:rsidR="00DF5A47">
        <w:t xml:space="preserve">were </w:t>
      </w:r>
      <w:r w:rsidR="0077020B">
        <w:t xml:space="preserve">driven </w:t>
      </w:r>
      <w:r w:rsidR="002761ED">
        <w:t xml:space="preserve">primarily </w:t>
      </w:r>
      <w:r w:rsidR="0077020B">
        <w:t xml:space="preserve">by the </w:t>
      </w:r>
      <w:r w:rsidR="0077020B" w:rsidRPr="002761ED">
        <w:rPr>
          <w:b/>
          <w:bCs/>
        </w:rPr>
        <w:t>technology sector</w:t>
      </w:r>
      <w:r w:rsidR="0077020B">
        <w:t xml:space="preserve"> (the magnificent 7) which along with the S&amp;P 500, the Nasdaq notched up successive record highs </w:t>
      </w:r>
      <w:r w:rsidR="002761ED">
        <w:t>in the first few weeks of June 2024</w:t>
      </w:r>
      <w:r w:rsidR="00062337">
        <w:t xml:space="preserve"> and the trend continues in July 2024.</w:t>
      </w:r>
    </w:p>
    <w:p w14:paraId="670F5E44" w14:textId="5D733A76"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5696F">
        <w:t>Q</w:t>
      </w:r>
      <w:r w:rsidR="00C00E8F">
        <w:t>3</w:t>
      </w:r>
      <w:r w:rsidR="00C5696F">
        <w:t xml:space="preserve"> and Q</w:t>
      </w:r>
      <w:r w:rsidR="00C00E8F">
        <w:t>4</w:t>
      </w:r>
      <w:r w:rsidR="00C5696F">
        <w:t xml:space="preserve"> </w:t>
      </w:r>
      <w:r w:rsidR="002903A6">
        <w:t xml:space="preserve">to reflect </w:t>
      </w:r>
      <w:r w:rsidR="00C00E8F">
        <w:t>improving</w:t>
      </w:r>
      <w:r w:rsidR="00C465D1">
        <w:t xml:space="preserve"> </w:t>
      </w:r>
      <w:r w:rsidR="00C5696F">
        <w:t xml:space="preserve">company results plus </w:t>
      </w:r>
      <w:r w:rsidR="00C465D1">
        <w:t>c</w:t>
      </w:r>
      <w:r w:rsidR="00C00E8F">
        <w:t>onservative</w:t>
      </w:r>
      <w:r w:rsidR="00C465D1">
        <w:t xml:space="preserve"> </w:t>
      </w:r>
      <w:r w:rsidR="00C5696F">
        <w:t xml:space="preserve">forward guidance </w:t>
      </w:r>
      <w:r w:rsidR="00C465D1">
        <w:t xml:space="preserve">which </w:t>
      </w:r>
      <w:r w:rsidR="00C00E8F">
        <w:t xml:space="preserve">will </w:t>
      </w:r>
      <w:r w:rsidR="00C465D1">
        <w:t>help support</w:t>
      </w:r>
      <w:r w:rsidR="00C5696F">
        <w:t xml:space="preserve"> </w:t>
      </w:r>
      <w:r w:rsidR="00600EF9">
        <w:t>investor appetite as interest rates search for equilibrium</w:t>
      </w:r>
      <w:r w:rsidR="002761ED">
        <w:t xml:space="preserve"> between the current supply and demand for capital</w:t>
      </w:r>
      <w:r w:rsidR="00C00E8F">
        <w:t>.</w:t>
      </w:r>
      <w:r w:rsidR="00005474">
        <w:rPr>
          <w:rFonts w:ascii="Calibri" w:hAnsi="Calibri" w:cs="Calibri"/>
          <w:color w:val="222222"/>
          <w:sz w:val="24"/>
          <w:szCs w:val="24"/>
          <w:shd w:val="clear" w:color="auto" w:fill="FFFFFF"/>
        </w:rPr>
        <w:t xml:space="preserve"> </w:t>
      </w:r>
    </w:p>
    <w:p w14:paraId="0F9CC6DF" w14:textId="77777777" w:rsidR="001F42E5" w:rsidRDefault="001F42E5" w:rsidP="009B38B3">
      <w:pPr>
        <w:rPr>
          <w:rFonts w:ascii="Calibri" w:hAnsi="Calibri" w:cs="Calibri"/>
          <w:color w:val="222222"/>
          <w:sz w:val="24"/>
          <w:szCs w:val="24"/>
          <w:shd w:val="clear" w:color="auto" w:fill="FFFFFF"/>
        </w:rPr>
      </w:pPr>
    </w:p>
    <w:p w14:paraId="746B3093" w14:textId="22FABC60" w:rsidR="00476B80" w:rsidRPr="00E37E86" w:rsidRDefault="00FA2956" w:rsidP="004273DE">
      <w:pPr>
        <w:spacing w:before="120" w:after="120"/>
        <w:rPr>
          <w:b/>
          <w:bCs/>
        </w:rPr>
      </w:pPr>
      <w:r>
        <w:rPr>
          <w:b/>
          <w:bCs/>
        </w:rPr>
        <w:lastRenderedPageBreak/>
        <w:t>Where to From Here?</w:t>
      </w:r>
    </w:p>
    <w:p w14:paraId="3208B238" w14:textId="77777777" w:rsidR="002761ED" w:rsidRDefault="00FA2956" w:rsidP="004273DE">
      <w:pPr>
        <w:spacing w:before="120" w:after="120"/>
      </w:pPr>
      <w:r w:rsidRPr="00850E8E">
        <w:rPr>
          <w:b/>
          <w:bCs/>
        </w:rPr>
        <w:t>For Australia</w:t>
      </w:r>
      <w:r>
        <w:t xml:space="preserve">, </w:t>
      </w:r>
      <w:r w:rsidR="002761ED">
        <w:t xml:space="preserve"> a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6BF46611" w14:textId="48424974" w:rsidR="00DC3092" w:rsidRPr="00DC3092" w:rsidRDefault="00A81BD3" w:rsidP="004273DE">
      <w:pPr>
        <w:spacing w:before="120" w:after="120"/>
      </w:pPr>
      <w:r w:rsidRPr="00DC3092">
        <w:t>All eyes are</w:t>
      </w:r>
      <w:r w:rsidR="009F26B6">
        <w:t xml:space="preserve"> </w:t>
      </w:r>
      <w:r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77777777" w:rsidR="00D06704" w:rsidRDefault="002761ED" w:rsidP="009E7EF6">
      <w:r w:rsidRPr="002761ED">
        <w:rPr>
          <w:b/>
          <w:bCs/>
        </w:rPr>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potential </w:t>
      </w:r>
      <w:r w:rsidR="007D1BED" w:rsidRPr="007D1BED">
        <w:rPr>
          <w:b/>
          <w:bCs/>
        </w:rPr>
        <w:t>soft landing</w:t>
      </w:r>
      <w:r w:rsidR="007D1BED">
        <w:t xml:space="preserve"> rather than a mild recession</w:t>
      </w:r>
      <w:r w:rsidR="00B52912">
        <w:t xml:space="preserve"> </w:t>
      </w:r>
      <w:r w:rsidR="0002488F">
        <w:t xml:space="preserve">in the US and Europe </w:t>
      </w:r>
      <w:r w:rsidR="007F4AD0">
        <w:t>down the track</w:t>
      </w:r>
      <w:r w:rsidR="00005474">
        <w:t xml:space="preserve">. </w:t>
      </w:r>
    </w:p>
    <w:p w14:paraId="4E1B39B5" w14:textId="0C56A16C" w:rsidR="00D06704" w:rsidRDefault="00D06704" w:rsidP="009E7EF6">
      <w:r>
        <w:t xml:space="preserve">The </w:t>
      </w:r>
      <w:r w:rsidRPr="009B70AF">
        <w:rPr>
          <w:b/>
          <w:bCs/>
        </w:rPr>
        <w:t>US elections in November 2024</w:t>
      </w:r>
      <w:r>
        <w:t xml:space="preserve"> are a background factor however, there may be </w:t>
      </w:r>
      <w:r w:rsidR="006820B4">
        <w:t>periods of</w:t>
      </w:r>
      <w:r>
        <w:t xml:space="preserve"> volatility in the lead up to the election. The same can be said about the European and UK elections</w:t>
      </w:r>
      <w:r w:rsidR="00235AFB">
        <w:t xml:space="preserve"> post the voting surprises experienced there recently.</w:t>
      </w:r>
      <w:r>
        <w:t xml:space="preserve"> A big year for voters. Post all the noise, the economic recovery should start to emerge.</w:t>
      </w:r>
    </w:p>
    <w:p w14:paraId="67B2D452" w14:textId="44CB80DB"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Pr="00005474">
        <w:rPr>
          <w:b/>
          <w:bCs/>
        </w:rPr>
        <w:t>found</w:t>
      </w:r>
      <w:r w:rsidR="00B52912" w:rsidRPr="00005474">
        <w:rPr>
          <w:b/>
          <w:bCs/>
        </w:rPr>
        <w:t xml:space="preserve"> a</w:t>
      </w:r>
      <w:r w:rsidR="00B52912" w:rsidRPr="00A64C25">
        <w:rPr>
          <w:b/>
          <w:bCs/>
        </w:rPr>
        <w:t xml:space="preserve"> bottom </w:t>
      </w:r>
      <w:r w:rsidR="004A734E" w:rsidRPr="00A64C25">
        <w:rPr>
          <w:b/>
          <w:bCs/>
        </w:rPr>
        <w:t xml:space="preserve">and </w:t>
      </w:r>
      <w:r w:rsidR="00B52912" w:rsidRPr="00A64C25">
        <w:rPr>
          <w:b/>
          <w:bCs/>
        </w:rPr>
        <w:t>consolidat</w:t>
      </w:r>
      <w:r>
        <w:rPr>
          <w:b/>
          <w:bCs/>
        </w:rPr>
        <w:t>ing</w:t>
      </w:r>
      <w:r w:rsidR="00B52912">
        <w:t xml:space="preserve"> before s</w:t>
      </w:r>
      <w:r w:rsidR="004A734E" w:rsidRPr="004A734E">
        <w:t>tart</w:t>
      </w:r>
      <w:r w:rsidR="00B52912">
        <w:t>ing</w:t>
      </w:r>
      <w:r w:rsidR="004A734E" w:rsidRPr="004A734E">
        <w:t xml:space="preserve"> </w:t>
      </w:r>
      <w:r w:rsidR="00B52912">
        <w:t>to recover</w:t>
      </w:r>
      <w:r w:rsidR="004A734E" w:rsidRPr="004A734E">
        <w:t xml:space="preserve"> </w:t>
      </w:r>
      <w:r>
        <w:t>longer term.</w:t>
      </w:r>
      <w:r w:rsidR="00B52912">
        <w:t xml:space="preserve">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22CEE83B" w:rsidR="00DA7237" w:rsidRDefault="00B52912" w:rsidP="006E0DCD">
      <w:r>
        <w:t xml:space="preserve">Fingers crossed </w:t>
      </w:r>
      <w:r w:rsidR="004A1535">
        <w:t xml:space="preserve">monetary policy </w:t>
      </w:r>
      <w:r w:rsidR="00412A09">
        <w:t xml:space="preserve">direction </w:t>
      </w:r>
      <w:r w:rsidR="00513CA7">
        <w:t xml:space="preserve">remains restrictive but trending towards an easing bias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425DC95A" w14:textId="77777777" w:rsidR="006E0DCD" w:rsidRDefault="006E0DCD" w:rsidP="0090611C">
      <w:pPr>
        <w:rPr>
          <w:b/>
          <w:bCs/>
        </w:rPr>
      </w:pPr>
    </w:p>
    <w:p w14:paraId="20A62BEF" w14:textId="7E9C044C" w:rsidR="009E7EF6" w:rsidRPr="0002488F" w:rsidRDefault="009E7EF6" w:rsidP="0090611C">
      <w:pPr>
        <w:rPr>
          <w:b/>
          <w:bCs/>
        </w:rPr>
      </w:pPr>
      <w:r w:rsidRPr="0002488F">
        <w:rPr>
          <w:b/>
          <w:bCs/>
        </w:rPr>
        <w:t>Footnote</w:t>
      </w:r>
    </w:p>
    <w:p w14:paraId="458C9861" w14:textId="0923345E" w:rsidR="00DE74A4" w:rsidRPr="000F52AB" w:rsidRDefault="009E7EF6" w:rsidP="00421DFB">
      <w:r w:rsidRPr="00A851EE">
        <w:rPr>
          <w:sz w:val="18"/>
        </w:rPr>
        <w:t xml:space="preserve">This market update written by Graham Fox for and on behalf of HNW Planning on </w:t>
      </w:r>
      <w:r w:rsidR="004A1535">
        <w:rPr>
          <w:sz w:val="18"/>
        </w:rPr>
        <w:t>1</w:t>
      </w:r>
      <w:r w:rsidR="001648D2">
        <w:rPr>
          <w:sz w:val="18"/>
        </w:rPr>
        <w:t>5</w:t>
      </w:r>
      <w:r w:rsidRPr="00A851EE">
        <w:rPr>
          <w:sz w:val="18"/>
        </w:rPr>
        <w:t>/</w:t>
      </w:r>
      <w:r w:rsidR="000B1350">
        <w:rPr>
          <w:sz w:val="18"/>
        </w:rPr>
        <w:t>0</w:t>
      </w:r>
      <w:r w:rsidR="001648D2">
        <w:rPr>
          <w:sz w:val="18"/>
        </w:rPr>
        <w:t>7</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19"/>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6128F" w14:textId="77777777" w:rsidR="005F77DD" w:rsidRDefault="005F77DD" w:rsidP="00EB28A8">
      <w:pPr>
        <w:spacing w:after="0" w:line="240" w:lineRule="auto"/>
      </w:pPr>
      <w:r>
        <w:separator/>
      </w:r>
    </w:p>
  </w:endnote>
  <w:endnote w:type="continuationSeparator" w:id="0">
    <w:p w14:paraId="3AB97E40" w14:textId="77777777" w:rsidR="005F77DD" w:rsidRDefault="005F77DD"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CE196" w14:textId="77777777" w:rsidR="005F77DD" w:rsidRDefault="005F77DD" w:rsidP="00EB28A8">
      <w:pPr>
        <w:spacing w:after="0" w:line="240" w:lineRule="auto"/>
      </w:pPr>
      <w:r>
        <w:separator/>
      </w:r>
    </w:p>
  </w:footnote>
  <w:footnote w:type="continuationSeparator" w:id="0">
    <w:p w14:paraId="4A438077" w14:textId="77777777" w:rsidR="005F77DD" w:rsidRDefault="005F77DD"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5"/>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6"/>
  </w:num>
  <w:num w:numId="8" w16cid:durableId="15420892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2755"/>
    <w:rsid w:val="0004442A"/>
    <w:rsid w:val="00045650"/>
    <w:rsid w:val="000458E9"/>
    <w:rsid w:val="00046301"/>
    <w:rsid w:val="00046589"/>
    <w:rsid w:val="00046840"/>
    <w:rsid w:val="00050628"/>
    <w:rsid w:val="0005073D"/>
    <w:rsid w:val="00051004"/>
    <w:rsid w:val="00051451"/>
    <w:rsid w:val="000530FF"/>
    <w:rsid w:val="00053887"/>
    <w:rsid w:val="00054BDB"/>
    <w:rsid w:val="000558CB"/>
    <w:rsid w:val="00055F78"/>
    <w:rsid w:val="0005674F"/>
    <w:rsid w:val="00056D53"/>
    <w:rsid w:val="0005797F"/>
    <w:rsid w:val="00060AB6"/>
    <w:rsid w:val="00061657"/>
    <w:rsid w:val="00062337"/>
    <w:rsid w:val="00063F3C"/>
    <w:rsid w:val="00066C19"/>
    <w:rsid w:val="00066E8A"/>
    <w:rsid w:val="00067753"/>
    <w:rsid w:val="000678F3"/>
    <w:rsid w:val="00071486"/>
    <w:rsid w:val="000732F1"/>
    <w:rsid w:val="00074A1A"/>
    <w:rsid w:val="00076007"/>
    <w:rsid w:val="000764FC"/>
    <w:rsid w:val="00077B36"/>
    <w:rsid w:val="00080677"/>
    <w:rsid w:val="00080EAF"/>
    <w:rsid w:val="00082606"/>
    <w:rsid w:val="00082AC2"/>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26DE"/>
    <w:rsid w:val="000A36E7"/>
    <w:rsid w:val="000A3B2A"/>
    <w:rsid w:val="000A5F08"/>
    <w:rsid w:val="000A7096"/>
    <w:rsid w:val="000A7689"/>
    <w:rsid w:val="000A7727"/>
    <w:rsid w:val="000A7AA8"/>
    <w:rsid w:val="000A7ACA"/>
    <w:rsid w:val="000B03C8"/>
    <w:rsid w:val="000B053B"/>
    <w:rsid w:val="000B0DED"/>
    <w:rsid w:val="000B12C5"/>
    <w:rsid w:val="000B1350"/>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725D"/>
    <w:rsid w:val="000F7387"/>
    <w:rsid w:val="000F7783"/>
    <w:rsid w:val="0010043C"/>
    <w:rsid w:val="00102BB6"/>
    <w:rsid w:val="00102E4C"/>
    <w:rsid w:val="0010573F"/>
    <w:rsid w:val="00105BCC"/>
    <w:rsid w:val="00105FA6"/>
    <w:rsid w:val="001066CC"/>
    <w:rsid w:val="00107049"/>
    <w:rsid w:val="001073CA"/>
    <w:rsid w:val="00107972"/>
    <w:rsid w:val="00110DCC"/>
    <w:rsid w:val="00110DCD"/>
    <w:rsid w:val="001112B5"/>
    <w:rsid w:val="00111526"/>
    <w:rsid w:val="00111862"/>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6204"/>
    <w:rsid w:val="00137324"/>
    <w:rsid w:val="001405F3"/>
    <w:rsid w:val="001415A2"/>
    <w:rsid w:val="00141B5E"/>
    <w:rsid w:val="00143062"/>
    <w:rsid w:val="001440B7"/>
    <w:rsid w:val="0014431E"/>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1550"/>
    <w:rsid w:val="00172116"/>
    <w:rsid w:val="00172387"/>
    <w:rsid w:val="001727F2"/>
    <w:rsid w:val="00173FB8"/>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8CD"/>
    <w:rsid w:val="001931DC"/>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379"/>
    <w:rsid w:val="001B3923"/>
    <w:rsid w:val="001B6CB4"/>
    <w:rsid w:val="001B6DA8"/>
    <w:rsid w:val="001C03FC"/>
    <w:rsid w:val="001C431B"/>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41D2"/>
    <w:rsid w:val="001F42E5"/>
    <w:rsid w:val="001F5AAD"/>
    <w:rsid w:val="001F621B"/>
    <w:rsid w:val="001F699A"/>
    <w:rsid w:val="001F6BF7"/>
    <w:rsid w:val="001F7C3F"/>
    <w:rsid w:val="00200F95"/>
    <w:rsid w:val="00201A4D"/>
    <w:rsid w:val="002032E2"/>
    <w:rsid w:val="0020369D"/>
    <w:rsid w:val="00205A1C"/>
    <w:rsid w:val="002061AD"/>
    <w:rsid w:val="00206682"/>
    <w:rsid w:val="0021071B"/>
    <w:rsid w:val="00211307"/>
    <w:rsid w:val="0021189B"/>
    <w:rsid w:val="00212697"/>
    <w:rsid w:val="00212DCC"/>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3D00"/>
    <w:rsid w:val="00234D9D"/>
    <w:rsid w:val="002350CD"/>
    <w:rsid w:val="00235353"/>
    <w:rsid w:val="00235AFB"/>
    <w:rsid w:val="00236F73"/>
    <w:rsid w:val="002376A3"/>
    <w:rsid w:val="0024149E"/>
    <w:rsid w:val="002431FA"/>
    <w:rsid w:val="0024668D"/>
    <w:rsid w:val="00247C5F"/>
    <w:rsid w:val="00247E87"/>
    <w:rsid w:val="0025086B"/>
    <w:rsid w:val="00252B62"/>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61ED"/>
    <w:rsid w:val="002767D1"/>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F2F"/>
    <w:rsid w:val="002C183C"/>
    <w:rsid w:val="002C1D4B"/>
    <w:rsid w:val="002C2046"/>
    <w:rsid w:val="002C3A77"/>
    <w:rsid w:val="002C4839"/>
    <w:rsid w:val="002C4C84"/>
    <w:rsid w:val="002C6C3E"/>
    <w:rsid w:val="002D0C17"/>
    <w:rsid w:val="002D1C33"/>
    <w:rsid w:val="002D47EA"/>
    <w:rsid w:val="002D4F09"/>
    <w:rsid w:val="002D53B9"/>
    <w:rsid w:val="002D5D13"/>
    <w:rsid w:val="002D7C21"/>
    <w:rsid w:val="002E1A3F"/>
    <w:rsid w:val="002E1D59"/>
    <w:rsid w:val="002E2AE9"/>
    <w:rsid w:val="002E535D"/>
    <w:rsid w:val="002E6845"/>
    <w:rsid w:val="002E7897"/>
    <w:rsid w:val="002F043F"/>
    <w:rsid w:val="002F0E91"/>
    <w:rsid w:val="002F2CC6"/>
    <w:rsid w:val="002F3360"/>
    <w:rsid w:val="002F4071"/>
    <w:rsid w:val="002F45CF"/>
    <w:rsid w:val="002F59EA"/>
    <w:rsid w:val="002F5F70"/>
    <w:rsid w:val="00300938"/>
    <w:rsid w:val="00300FD9"/>
    <w:rsid w:val="00301330"/>
    <w:rsid w:val="003033AC"/>
    <w:rsid w:val="0030556E"/>
    <w:rsid w:val="00310DA6"/>
    <w:rsid w:val="00311F31"/>
    <w:rsid w:val="00314A61"/>
    <w:rsid w:val="00315A24"/>
    <w:rsid w:val="0031645E"/>
    <w:rsid w:val="00316AE6"/>
    <w:rsid w:val="00317447"/>
    <w:rsid w:val="0032154C"/>
    <w:rsid w:val="0032174E"/>
    <w:rsid w:val="0032180A"/>
    <w:rsid w:val="0032239E"/>
    <w:rsid w:val="00322449"/>
    <w:rsid w:val="003233E3"/>
    <w:rsid w:val="0032364A"/>
    <w:rsid w:val="00324270"/>
    <w:rsid w:val="00324676"/>
    <w:rsid w:val="00325ABE"/>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195"/>
    <w:rsid w:val="003757D8"/>
    <w:rsid w:val="00377B5C"/>
    <w:rsid w:val="003824D8"/>
    <w:rsid w:val="00383326"/>
    <w:rsid w:val="00384EB8"/>
    <w:rsid w:val="00385571"/>
    <w:rsid w:val="00387588"/>
    <w:rsid w:val="00387C8F"/>
    <w:rsid w:val="00390D33"/>
    <w:rsid w:val="0039159F"/>
    <w:rsid w:val="00391BC9"/>
    <w:rsid w:val="0039208C"/>
    <w:rsid w:val="003921E8"/>
    <w:rsid w:val="00395F1F"/>
    <w:rsid w:val="00396B3C"/>
    <w:rsid w:val="003976EE"/>
    <w:rsid w:val="00397D87"/>
    <w:rsid w:val="003A0E97"/>
    <w:rsid w:val="003A1746"/>
    <w:rsid w:val="003A198B"/>
    <w:rsid w:val="003A45E2"/>
    <w:rsid w:val="003A4B00"/>
    <w:rsid w:val="003A4B8F"/>
    <w:rsid w:val="003A4ED2"/>
    <w:rsid w:val="003A7C20"/>
    <w:rsid w:val="003B086D"/>
    <w:rsid w:val="003B094A"/>
    <w:rsid w:val="003B1467"/>
    <w:rsid w:val="003B1919"/>
    <w:rsid w:val="003B24A2"/>
    <w:rsid w:val="003B2545"/>
    <w:rsid w:val="003B4810"/>
    <w:rsid w:val="003B5A2E"/>
    <w:rsid w:val="003B5C51"/>
    <w:rsid w:val="003C15AC"/>
    <w:rsid w:val="003C1B17"/>
    <w:rsid w:val="003C1DA4"/>
    <w:rsid w:val="003C23F8"/>
    <w:rsid w:val="003C26EF"/>
    <w:rsid w:val="003C279F"/>
    <w:rsid w:val="003C4073"/>
    <w:rsid w:val="003C5147"/>
    <w:rsid w:val="003C5324"/>
    <w:rsid w:val="003C5801"/>
    <w:rsid w:val="003C6F2D"/>
    <w:rsid w:val="003D0503"/>
    <w:rsid w:val="003D19F1"/>
    <w:rsid w:val="003D5229"/>
    <w:rsid w:val="003E1682"/>
    <w:rsid w:val="003E1E0A"/>
    <w:rsid w:val="003E1FA0"/>
    <w:rsid w:val="003E2AA4"/>
    <w:rsid w:val="003E37EE"/>
    <w:rsid w:val="003E66A5"/>
    <w:rsid w:val="003E7BC7"/>
    <w:rsid w:val="003F0516"/>
    <w:rsid w:val="003F48A6"/>
    <w:rsid w:val="003F4C03"/>
    <w:rsid w:val="003F5122"/>
    <w:rsid w:val="003F65C3"/>
    <w:rsid w:val="003F6F54"/>
    <w:rsid w:val="003F73CE"/>
    <w:rsid w:val="0040095F"/>
    <w:rsid w:val="004010C2"/>
    <w:rsid w:val="004015A8"/>
    <w:rsid w:val="00401C8C"/>
    <w:rsid w:val="00402816"/>
    <w:rsid w:val="00402FB6"/>
    <w:rsid w:val="00403EC7"/>
    <w:rsid w:val="00404E3B"/>
    <w:rsid w:val="004100BF"/>
    <w:rsid w:val="0041035D"/>
    <w:rsid w:val="004104F2"/>
    <w:rsid w:val="00410F37"/>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ACA"/>
    <w:rsid w:val="00436EB4"/>
    <w:rsid w:val="004405E5"/>
    <w:rsid w:val="00440D16"/>
    <w:rsid w:val="00440D3D"/>
    <w:rsid w:val="004429BF"/>
    <w:rsid w:val="00442AE0"/>
    <w:rsid w:val="00443C00"/>
    <w:rsid w:val="00444784"/>
    <w:rsid w:val="00446119"/>
    <w:rsid w:val="0044661F"/>
    <w:rsid w:val="00451632"/>
    <w:rsid w:val="0045168D"/>
    <w:rsid w:val="00453990"/>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97862"/>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1112"/>
    <w:rsid w:val="004C3B67"/>
    <w:rsid w:val="004C3C46"/>
    <w:rsid w:val="004C3E27"/>
    <w:rsid w:val="004C5407"/>
    <w:rsid w:val="004C5474"/>
    <w:rsid w:val="004C59B2"/>
    <w:rsid w:val="004C5B3F"/>
    <w:rsid w:val="004C691E"/>
    <w:rsid w:val="004C7794"/>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39C2"/>
    <w:rsid w:val="00553B02"/>
    <w:rsid w:val="00554A8E"/>
    <w:rsid w:val="00556DF4"/>
    <w:rsid w:val="00557108"/>
    <w:rsid w:val="005576E2"/>
    <w:rsid w:val="005605BD"/>
    <w:rsid w:val="0056120E"/>
    <w:rsid w:val="00561D42"/>
    <w:rsid w:val="00562B59"/>
    <w:rsid w:val="0056303E"/>
    <w:rsid w:val="005640AF"/>
    <w:rsid w:val="00566739"/>
    <w:rsid w:val="00566A53"/>
    <w:rsid w:val="0056717A"/>
    <w:rsid w:val="005672D8"/>
    <w:rsid w:val="0057013D"/>
    <w:rsid w:val="00570259"/>
    <w:rsid w:val="0057102E"/>
    <w:rsid w:val="0057277D"/>
    <w:rsid w:val="00573652"/>
    <w:rsid w:val="005737CD"/>
    <w:rsid w:val="005738C3"/>
    <w:rsid w:val="00574A05"/>
    <w:rsid w:val="00574F6A"/>
    <w:rsid w:val="005769A7"/>
    <w:rsid w:val="005775E2"/>
    <w:rsid w:val="0058031F"/>
    <w:rsid w:val="00580A95"/>
    <w:rsid w:val="00581A97"/>
    <w:rsid w:val="00581C28"/>
    <w:rsid w:val="00584251"/>
    <w:rsid w:val="005851AB"/>
    <w:rsid w:val="0058542D"/>
    <w:rsid w:val="00585652"/>
    <w:rsid w:val="005860E8"/>
    <w:rsid w:val="0058617A"/>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63B"/>
    <w:rsid w:val="005A4ABD"/>
    <w:rsid w:val="005A4CB4"/>
    <w:rsid w:val="005A5F3D"/>
    <w:rsid w:val="005A7426"/>
    <w:rsid w:val="005A7F4E"/>
    <w:rsid w:val="005B03C8"/>
    <w:rsid w:val="005B0D06"/>
    <w:rsid w:val="005B0EA0"/>
    <w:rsid w:val="005B10EE"/>
    <w:rsid w:val="005B21DD"/>
    <w:rsid w:val="005B4281"/>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30D3"/>
    <w:rsid w:val="005D3711"/>
    <w:rsid w:val="005D39F6"/>
    <w:rsid w:val="005D4428"/>
    <w:rsid w:val="005D57B1"/>
    <w:rsid w:val="005D6DB2"/>
    <w:rsid w:val="005D6E32"/>
    <w:rsid w:val="005D7E5A"/>
    <w:rsid w:val="005E1E51"/>
    <w:rsid w:val="005E2C87"/>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75EB"/>
    <w:rsid w:val="006078FE"/>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7DD"/>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41E19"/>
    <w:rsid w:val="00642822"/>
    <w:rsid w:val="00650252"/>
    <w:rsid w:val="006504F7"/>
    <w:rsid w:val="00651220"/>
    <w:rsid w:val="00653261"/>
    <w:rsid w:val="006536A9"/>
    <w:rsid w:val="00656A73"/>
    <w:rsid w:val="006601A3"/>
    <w:rsid w:val="006604D3"/>
    <w:rsid w:val="00662B0C"/>
    <w:rsid w:val="006636F3"/>
    <w:rsid w:val="006642EF"/>
    <w:rsid w:val="00664D4C"/>
    <w:rsid w:val="00667C14"/>
    <w:rsid w:val="00670038"/>
    <w:rsid w:val="00671CB3"/>
    <w:rsid w:val="006729B3"/>
    <w:rsid w:val="006742C4"/>
    <w:rsid w:val="00675F94"/>
    <w:rsid w:val="00677BFA"/>
    <w:rsid w:val="00680B35"/>
    <w:rsid w:val="00680B48"/>
    <w:rsid w:val="00680BB2"/>
    <w:rsid w:val="006820B4"/>
    <w:rsid w:val="006828F2"/>
    <w:rsid w:val="00682F59"/>
    <w:rsid w:val="0068461E"/>
    <w:rsid w:val="00686D84"/>
    <w:rsid w:val="00687048"/>
    <w:rsid w:val="00687F60"/>
    <w:rsid w:val="0069334F"/>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752C"/>
    <w:rsid w:val="00700039"/>
    <w:rsid w:val="007004E3"/>
    <w:rsid w:val="00700656"/>
    <w:rsid w:val="00700CF4"/>
    <w:rsid w:val="00702885"/>
    <w:rsid w:val="00703580"/>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2592"/>
    <w:rsid w:val="007233A7"/>
    <w:rsid w:val="00724B5F"/>
    <w:rsid w:val="00726837"/>
    <w:rsid w:val="0073033B"/>
    <w:rsid w:val="00730824"/>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0A5B"/>
    <w:rsid w:val="00752356"/>
    <w:rsid w:val="00752E7E"/>
    <w:rsid w:val="00754250"/>
    <w:rsid w:val="00754A4F"/>
    <w:rsid w:val="0075502B"/>
    <w:rsid w:val="00755D16"/>
    <w:rsid w:val="0075649C"/>
    <w:rsid w:val="00756FC3"/>
    <w:rsid w:val="00757323"/>
    <w:rsid w:val="00757343"/>
    <w:rsid w:val="00760DD0"/>
    <w:rsid w:val="00761513"/>
    <w:rsid w:val="0076238E"/>
    <w:rsid w:val="007633F4"/>
    <w:rsid w:val="00763854"/>
    <w:rsid w:val="00763D37"/>
    <w:rsid w:val="00764938"/>
    <w:rsid w:val="00764C50"/>
    <w:rsid w:val="00765ED5"/>
    <w:rsid w:val="007660ED"/>
    <w:rsid w:val="0076645B"/>
    <w:rsid w:val="00767F50"/>
    <w:rsid w:val="0077020B"/>
    <w:rsid w:val="00770631"/>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54D4"/>
    <w:rsid w:val="007C5668"/>
    <w:rsid w:val="007C56E9"/>
    <w:rsid w:val="007C620D"/>
    <w:rsid w:val="007C64CC"/>
    <w:rsid w:val="007D0366"/>
    <w:rsid w:val="007D0C99"/>
    <w:rsid w:val="007D1BED"/>
    <w:rsid w:val="007D2C54"/>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753C"/>
    <w:rsid w:val="007F084A"/>
    <w:rsid w:val="007F0FC4"/>
    <w:rsid w:val="007F1108"/>
    <w:rsid w:val="007F179F"/>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288E"/>
    <w:rsid w:val="00812E92"/>
    <w:rsid w:val="008134E9"/>
    <w:rsid w:val="00813EA1"/>
    <w:rsid w:val="008146B7"/>
    <w:rsid w:val="008150EC"/>
    <w:rsid w:val="00816933"/>
    <w:rsid w:val="00816F91"/>
    <w:rsid w:val="008214C4"/>
    <w:rsid w:val="00821A46"/>
    <w:rsid w:val="008229BA"/>
    <w:rsid w:val="00822C82"/>
    <w:rsid w:val="0082609E"/>
    <w:rsid w:val="008261BB"/>
    <w:rsid w:val="008267DB"/>
    <w:rsid w:val="008275F0"/>
    <w:rsid w:val="008276D8"/>
    <w:rsid w:val="00830BE7"/>
    <w:rsid w:val="00830C8C"/>
    <w:rsid w:val="00831CD8"/>
    <w:rsid w:val="00831E48"/>
    <w:rsid w:val="008321BA"/>
    <w:rsid w:val="008322C5"/>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4F20"/>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173A"/>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87E"/>
    <w:rsid w:val="008D78CF"/>
    <w:rsid w:val="008D7E12"/>
    <w:rsid w:val="008E0127"/>
    <w:rsid w:val="008E0572"/>
    <w:rsid w:val="008E3208"/>
    <w:rsid w:val="008E3CF5"/>
    <w:rsid w:val="008E4221"/>
    <w:rsid w:val="008E5D1F"/>
    <w:rsid w:val="008E757D"/>
    <w:rsid w:val="008E7965"/>
    <w:rsid w:val="008F12F3"/>
    <w:rsid w:val="008F23A8"/>
    <w:rsid w:val="008F41D2"/>
    <w:rsid w:val="008F5026"/>
    <w:rsid w:val="008F5FF7"/>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1D9F"/>
    <w:rsid w:val="009452BE"/>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6124"/>
    <w:rsid w:val="009677B1"/>
    <w:rsid w:val="0096795C"/>
    <w:rsid w:val="009708AD"/>
    <w:rsid w:val="00972621"/>
    <w:rsid w:val="009741E1"/>
    <w:rsid w:val="009744FA"/>
    <w:rsid w:val="0097507F"/>
    <w:rsid w:val="00975201"/>
    <w:rsid w:val="009756E0"/>
    <w:rsid w:val="00975C44"/>
    <w:rsid w:val="00975DDE"/>
    <w:rsid w:val="00976AE6"/>
    <w:rsid w:val="00977DA9"/>
    <w:rsid w:val="00980D88"/>
    <w:rsid w:val="00981801"/>
    <w:rsid w:val="00981B85"/>
    <w:rsid w:val="009829D6"/>
    <w:rsid w:val="00984AC0"/>
    <w:rsid w:val="00986639"/>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18CB"/>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4C96"/>
    <w:rsid w:val="00A25255"/>
    <w:rsid w:val="00A255C6"/>
    <w:rsid w:val="00A27AD9"/>
    <w:rsid w:val="00A303B6"/>
    <w:rsid w:val="00A3063D"/>
    <w:rsid w:val="00A322BD"/>
    <w:rsid w:val="00A32D8C"/>
    <w:rsid w:val="00A3418C"/>
    <w:rsid w:val="00A35110"/>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A5F"/>
    <w:rsid w:val="00A71E6A"/>
    <w:rsid w:val="00A72332"/>
    <w:rsid w:val="00A72850"/>
    <w:rsid w:val="00A7402B"/>
    <w:rsid w:val="00A7452C"/>
    <w:rsid w:val="00A748EC"/>
    <w:rsid w:val="00A75682"/>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212"/>
    <w:rsid w:val="00A85A05"/>
    <w:rsid w:val="00A87065"/>
    <w:rsid w:val="00A911F7"/>
    <w:rsid w:val="00A9301F"/>
    <w:rsid w:val="00A933B9"/>
    <w:rsid w:val="00A94C92"/>
    <w:rsid w:val="00A95644"/>
    <w:rsid w:val="00A95835"/>
    <w:rsid w:val="00A972FA"/>
    <w:rsid w:val="00A97612"/>
    <w:rsid w:val="00A9793C"/>
    <w:rsid w:val="00AA3715"/>
    <w:rsid w:val="00AA45F6"/>
    <w:rsid w:val="00AA61C2"/>
    <w:rsid w:val="00AA627D"/>
    <w:rsid w:val="00AA69BE"/>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511"/>
    <w:rsid w:val="00AD093E"/>
    <w:rsid w:val="00AD109F"/>
    <w:rsid w:val="00AD2598"/>
    <w:rsid w:val="00AD2DB3"/>
    <w:rsid w:val="00AD3299"/>
    <w:rsid w:val="00AD47B6"/>
    <w:rsid w:val="00AD67E8"/>
    <w:rsid w:val="00AE0C14"/>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2125"/>
    <w:rsid w:val="00B0357D"/>
    <w:rsid w:val="00B04D6E"/>
    <w:rsid w:val="00B04E1B"/>
    <w:rsid w:val="00B05AFA"/>
    <w:rsid w:val="00B066C6"/>
    <w:rsid w:val="00B07F89"/>
    <w:rsid w:val="00B108C5"/>
    <w:rsid w:val="00B115AE"/>
    <w:rsid w:val="00B11817"/>
    <w:rsid w:val="00B122D4"/>
    <w:rsid w:val="00B12375"/>
    <w:rsid w:val="00B13339"/>
    <w:rsid w:val="00B140A8"/>
    <w:rsid w:val="00B16EF3"/>
    <w:rsid w:val="00B2004C"/>
    <w:rsid w:val="00B20411"/>
    <w:rsid w:val="00B20B6A"/>
    <w:rsid w:val="00B21D78"/>
    <w:rsid w:val="00B22254"/>
    <w:rsid w:val="00B23557"/>
    <w:rsid w:val="00B23BF2"/>
    <w:rsid w:val="00B24141"/>
    <w:rsid w:val="00B2416D"/>
    <w:rsid w:val="00B24CEA"/>
    <w:rsid w:val="00B26539"/>
    <w:rsid w:val="00B2741F"/>
    <w:rsid w:val="00B2779A"/>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5927"/>
    <w:rsid w:val="00B76606"/>
    <w:rsid w:val="00B76DC1"/>
    <w:rsid w:val="00B800F9"/>
    <w:rsid w:val="00B811D5"/>
    <w:rsid w:val="00B81344"/>
    <w:rsid w:val="00B83875"/>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230E"/>
    <w:rsid w:val="00BA2B8F"/>
    <w:rsid w:val="00BA46D9"/>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683F"/>
    <w:rsid w:val="00BD795F"/>
    <w:rsid w:val="00BD7EA7"/>
    <w:rsid w:val="00BE0AFA"/>
    <w:rsid w:val="00BE10C6"/>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7E1"/>
    <w:rsid w:val="00C11C58"/>
    <w:rsid w:val="00C12415"/>
    <w:rsid w:val="00C12A81"/>
    <w:rsid w:val="00C12F45"/>
    <w:rsid w:val="00C1428B"/>
    <w:rsid w:val="00C175CC"/>
    <w:rsid w:val="00C17C51"/>
    <w:rsid w:val="00C201F7"/>
    <w:rsid w:val="00C20E83"/>
    <w:rsid w:val="00C222CE"/>
    <w:rsid w:val="00C23855"/>
    <w:rsid w:val="00C25AA0"/>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55B"/>
    <w:rsid w:val="00C5696F"/>
    <w:rsid w:val="00C57B9B"/>
    <w:rsid w:val="00C60EEF"/>
    <w:rsid w:val="00C62422"/>
    <w:rsid w:val="00C65C4B"/>
    <w:rsid w:val="00C66DAD"/>
    <w:rsid w:val="00C674CD"/>
    <w:rsid w:val="00C7049D"/>
    <w:rsid w:val="00C717FA"/>
    <w:rsid w:val="00C723B0"/>
    <w:rsid w:val="00C72C2C"/>
    <w:rsid w:val="00C73144"/>
    <w:rsid w:val="00C7371D"/>
    <w:rsid w:val="00C73C5C"/>
    <w:rsid w:val="00C80338"/>
    <w:rsid w:val="00C81C0C"/>
    <w:rsid w:val="00C82F20"/>
    <w:rsid w:val="00C83556"/>
    <w:rsid w:val="00C85B40"/>
    <w:rsid w:val="00C9020F"/>
    <w:rsid w:val="00C9039C"/>
    <w:rsid w:val="00C92DF8"/>
    <w:rsid w:val="00C93C71"/>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E6B07"/>
    <w:rsid w:val="00CE7A4C"/>
    <w:rsid w:val="00CF0345"/>
    <w:rsid w:val="00CF0DCD"/>
    <w:rsid w:val="00CF1215"/>
    <w:rsid w:val="00CF152E"/>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6704"/>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349EC"/>
    <w:rsid w:val="00D357C4"/>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10B8"/>
    <w:rsid w:val="00D712E9"/>
    <w:rsid w:val="00D72327"/>
    <w:rsid w:val="00D72B03"/>
    <w:rsid w:val="00D73CF1"/>
    <w:rsid w:val="00D7423A"/>
    <w:rsid w:val="00D74275"/>
    <w:rsid w:val="00D76073"/>
    <w:rsid w:val="00D8277B"/>
    <w:rsid w:val="00D82B2C"/>
    <w:rsid w:val="00D84884"/>
    <w:rsid w:val="00D859E3"/>
    <w:rsid w:val="00D87293"/>
    <w:rsid w:val="00D9035D"/>
    <w:rsid w:val="00D9079F"/>
    <w:rsid w:val="00D90A2B"/>
    <w:rsid w:val="00D913B0"/>
    <w:rsid w:val="00D91586"/>
    <w:rsid w:val="00D91591"/>
    <w:rsid w:val="00D94036"/>
    <w:rsid w:val="00D94145"/>
    <w:rsid w:val="00D95A92"/>
    <w:rsid w:val="00D96147"/>
    <w:rsid w:val="00D97359"/>
    <w:rsid w:val="00D97509"/>
    <w:rsid w:val="00D97FA7"/>
    <w:rsid w:val="00DA0B91"/>
    <w:rsid w:val="00DA0FE7"/>
    <w:rsid w:val="00DA16BC"/>
    <w:rsid w:val="00DA1AD3"/>
    <w:rsid w:val="00DA1ED0"/>
    <w:rsid w:val="00DA20F4"/>
    <w:rsid w:val="00DA22F2"/>
    <w:rsid w:val="00DA2AC9"/>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E5C"/>
    <w:rsid w:val="00DF2F47"/>
    <w:rsid w:val="00DF3538"/>
    <w:rsid w:val="00DF397C"/>
    <w:rsid w:val="00DF5A47"/>
    <w:rsid w:val="00DF6C7A"/>
    <w:rsid w:val="00DF7832"/>
    <w:rsid w:val="00E00A5F"/>
    <w:rsid w:val="00E010BD"/>
    <w:rsid w:val="00E01EF7"/>
    <w:rsid w:val="00E03EC8"/>
    <w:rsid w:val="00E0440D"/>
    <w:rsid w:val="00E04E4C"/>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5BF8"/>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42E0"/>
    <w:rsid w:val="00E74823"/>
    <w:rsid w:val="00E7498E"/>
    <w:rsid w:val="00E755CE"/>
    <w:rsid w:val="00E7618A"/>
    <w:rsid w:val="00E76659"/>
    <w:rsid w:val="00E76CA0"/>
    <w:rsid w:val="00E77097"/>
    <w:rsid w:val="00E77F03"/>
    <w:rsid w:val="00E82C6E"/>
    <w:rsid w:val="00E83078"/>
    <w:rsid w:val="00E830A9"/>
    <w:rsid w:val="00E835B4"/>
    <w:rsid w:val="00E85AAA"/>
    <w:rsid w:val="00E86399"/>
    <w:rsid w:val="00E864D2"/>
    <w:rsid w:val="00E90075"/>
    <w:rsid w:val="00E9028F"/>
    <w:rsid w:val="00E90381"/>
    <w:rsid w:val="00E907AE"/>
    <w:rsid w:val="00E91EC4"/>
    <w:rsid w:val="00E92591"/>
    <w:rsid w:val="00E92AE2"/>
    <w:rsid w:val="00E936F2"/>
    <w:rsid w:val="00E94957"/>
    <w:rsid w:val="00E94C2B"/>
    <w:rsid w:val="00E95D83"/>
    <w:rsid w:val="00E97818"/>
    <w:rsid w:val="00EA0012"/>
    <w:rsid w:val="00EA29BF"/>
    <w:rsid w:val="00EA33BB"/>
    <w:rsid w:val="00EA4358"/>
    <w:rsid w:val="00EA5C5F"/>
    <w:rsid w:val="00EB0AA0"/>
    <w:rsid w:val="00EB28A8"/>
    <w:rsid w:val="00EB2B42"/>
    <w:rsid w:val="00EB3A29"/>
    <w:rsid w:val="00EB3A58"/>
    <w:rsid w:val="00EB4D4C"/>
    <w:rsid w:val="00EB7825"/>
    <w:rsid w:val="00EC2F63"/>
    <w:rsid w:val="00EC30E7"/>
    <w:rsid w:val="00EC3491"/>
    <w:rsid w:val="00EC39D7"/>
    <w:rsid w:val="00EC6793"/>
    <w:rsid w:val="00EC6D07"/>
    <w:rsid w:val="00EC7671"/>
    <w:rsid w:val="00ED023F"/>
    <w:rsid w:val="00ED0A11"/>
    <w:rsid w:val="00ED23CC"/>
    <w:rsid w:val="00ED2653"/>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5160"/>
    <w:rsid w:val="00F97BBC"/>
    <w:rsid w:val="00FA0371"/>
    <w:rsid w:val="00FA06EA"/>
    <w:rsid w:val="00FA16D9"/>
    <w:rsid w:val="00FA1935"/>
    <w:rsid w:val="00FA1A8D"/>
    <w:rsid w:val="00FA1F98"/>
    <w:rsid w:val="00FA2956"/>
    <w:rsid w:val="00FA390E"/>
    <w:rsid w:val="00FA3D27"/>
    <w:rsid w:val="00FB0752"/>
    <w:rsid w:val="00FB1617"/>
    <w:rsid w:val="00FB1FE3"/>
    <w:rsid w:val="00FB36E5"/>
    <w:rsid w:val="00FB388C"/>
    <w:rsid w:val="00FB4ADB"/>
    <w:rsid w:val="00FB4FDA"/>
    <w:rsid w:val="00FB7864"/>
    <w:rsid w:val="00FB78B0"/>
    <w:rsid w:val="00FC017D"/>
    <w:rsid w:val="00FC03A5"/>
    <w:rsid w:val="00FC10EC"/>
    <w:rsid w:val="00FC11A1"/>
    <w:rsid w:val="00FC2161"/>
    <w:rsid w:val="00FC2362"/>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5E7"/>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EFA677A6-401C-47A8-BD49-97A78BC7053D}"/>
</file>

<file path=customXml/itemProps3.xml><?xml version="1.0" encoding="utf-8"?>
<ds:datastoreItem xmlns:ds="http://schemas.openxmlformats.org/officeDocument/2006/customXml" ds:itemID="{601AE133-E8DF-40CC-BC3A-52BEACC9039A}"/>
</file>

<file path=customXml/itemProps4.xml><?xml version="1.0" encoding="utf-8"?>
<ds:datastoreItem xmlns:ds="http://schemas.openxmlformats.org/officeDocument/2006/customXml" ds:itemID="{99B722D5-F0C8-484F-9977-4412ABE10640}"/>
</file>

<file path=docProps/app.xml><?xml version="1.0" encoding="utf-8"?>
<Properties xmlns="http://schemas.openxmlformats.org/officeDocument/2006/extended-properties" xmlns:vt="http://schemas.openxmlformats.org/officeDocument/2006/docPropsVTypes">
  <Template>Normal</Template>
  <TotalTime>3</TotalTime>
  <Pages>13</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3</cp:revision>
  <cp:lastPrinted>2019-09-12T06:02:00Z</cp:lastPrinted>
  <dcterms:created xsi:type="dcterms:W3CDTF">2024-07-15T21:06:00Z</dcterms:created>
  <dcterms:modified xsi:type="dcterms:W3CDTF">2024-07-15T21:06:00Z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